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p>
        </w:tc>
        <w:tc>
          <w:tcPr>
            <w:tcW w:w="8855" w:type="dxa"/>
          </w:tcPr>
          <w:p>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91.100.10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CCS</w:t>
            </w:r>
          </w:p>
        </w:tc>
        <w:tc>
          <w:tcPr>
            <w:tcW w:w="8855"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Q10/29</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7"/>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w:rPr>
          <w:rFonts w:hint="eastAsia" w:ascii="黑体" w:hAnsi="黑体" w:eastAsia="黑体"/>
          <w:kern w:val="0"/>
          <w:sz w:val="10"/>
          <w:szCs w:val="10"/>
        </w:rPr>
        <w:pict>
          <v:line id="直接连接符 73" o:spid="_x0000_s2050"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v:path arrowok="t"/>
            <v:fill focussize="0,0"/>
            <v:stroke/>
            <v:imagedata o:title=""/>
            <o:lock v:ext="edit"/>
          </v:line>
        </w:pict>
      </w:r>
    </w:p>
    <w:p>
      <w:pPr>
        <w:pStyle w:val="51"/>
        <w:framePr w:w="9639" w:h="6976" w:hRule="exact" w:hSpace="0" w:vSpace="0" w:wrap="around" w:hAnchor="page" w:y="6408"/>
        <w:jc w:val="center"/>
        <w:rPr>
          <w:rFonts w:hint="eastAsia" w:ascii="黑体" w:hAnsi="黑体" w:eastAsia="黑体"/>
          <w:b w:val="0"/>
          <w:bCs w:val="0"/>
          <w:w w:val="100"/>
        </w:rPr>
      </w:pPr>
    </w:p>
    <w:p>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预拌砂浆技术规程</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specification for ready-mixed mortar</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2021</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2021</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 江苏省住房和城乡建设厅</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w:pict>
          <v:line id="直接连接符 5" o:spid="_x0000_s2051"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v:path arrowok="t"/>
            <v:fill focussize="0,0"/>
            <v:stroke/>
            <v:imagedata o:title=""/>
            <o:lock v:ext="edit"/>
            <w10:anchorlock/>
          </v:line>
        </w:pict>
      </w:r>
    </w:p>
    <w:p>
      <w:pPr>
        <w:pStyle w:val="92"/>
        <w:spacing w:after="468"/>
      </w:pPr>
      <w:bookmarkStart w:id="21" w:name="BookMark2"/>
      <w:r>
        <w:rPr>
          <w:rFonts w:hint="eastAsia"/>
          <w:spacing w:val="320"/>
        </w:rPr>
        <w:t>目</w:t>
      </w:r>
      <w:r>
        <w:rPr>
          <w:rFonts w:hint="eastAsia"/>
        </w:rPr>
        <w:t>次</w:t>
      </w:r>
    </w:p>
    <w:p>
      <w:pPr>
        <w:widowControl/>
        <w:adjustRightInd/>
        <w:spacing w:before="78" w:beforeLines="25" w:after="78" w:afterLines="25" w:line="240" w:lineRule="auto"/>
        <w:jc w:val="distribute"/>
        <w:rPr>
          <w:rFonts w:ascii="Times New Roman" w:hAnsi="Times New Roman"/>
        </w:rPr>
      </w:pPr>
      <w:r>
        <w:rPr>
          <w:rFonts w:ascii="Times New Roman" w:hAnsi="Times New Roman"/>
        </w:rPr>
        <w:t>前言</w:t>
      </w:r>
      <w:r>
        <w:rPr>
          <w:rFonts w:hint="eastAsia" w:ascii="Times New Roman" w:hAnsi="Times New Roman"/>
        </w:rPr>
        <w:t>……………………………………………………………………………………………………………</w:t>
      </w:r>
      <w:r>
        <w:rPr>
          <w:rFonts w:ascii="Times New Roman" w:hAnsi="Times New Roman"/>
        </w:rPr>
        <w:t>Ⅲ</w:t>
      </w:r>
    </w:p>
    <w:p>
      <w:pPr>
        <w:widowControl/>
        <w:adjustRightInd/>
        <w:spacing w:before="78" w:beforeLines="25" w:after="78" w:afterLines="25" w:line="240" w:lineRule="auto"/>
        <w:jc w:val="left"/>
        <w:rPr>
          <w:rFonts w:ascii="Times New Roman" w:hAnsi="Times New Roman"/>
        </w:rPr>
      </w:pPr>
      <w:r>
        <w:rPr>
          <w:rFonts w:ascii="Times New Roman" w:hAnsi="Times New Roman"/>
        </w:rPr>
        <w:t>1 范围</w:t>
      </w:r>
      <w:r>
        <w:rPr>
          <w:rFonts w:hint="eastAsia" w:ascii="Times New Roman" w:hAnsi="Times New Roman"/>
        </w:rPr>
        <w:t>……………………………………………………………………………………………………………1</w:t>
      </w:r>
    </w:p>
    <w:p>
      <w:pPr>
        <w:widowControl/>
        <w:adjustRightInd/>
        <w:spacing w:before="78" w:beforeLines="25" w:after="78" w:afterLines="25" w:line="240" w:lineRule="auto"/>
        <w:jc w:val="left"/>
        <w:rPr>
          <w:rFonts w:ascii="Times New Roman" w:hAnsi="Times New Roman"/>
        </w:rPr>
      </w:pPr>
      <w:r>
        <w:rPr>
          <w:rFonts w:hint="eastAsia" w:ascii="Times New Roman" w:hAnsi="Times New Roman"/>
        </w:rPr>
        <w:t>2 规范性引用文件………………………………………………………………………………………………1</w:t>
      </w:r>
    </w:p>
    <w:p>
      <w:pPr>
        <w:widowControl/>
        <w:adjustRightInd/>
        <w:spacing w:before="78" w:beforeLines="25" w:after="78" w:afterLines="25" w:line="240" w:lineRule="auto"/>
        <w:jc w:val="left"/>
        <w:rPr>
          <w:rFonts w:ascii="Times New Roman" w:hAnsi="Times New Roman"/>
        </w:rPr>
      </w:pPr>
      <w:r>
        <w:rPr>
          <w:rFonts w:hint="eastAsia" w:ascii="Times New Roman" w:hAnsi="Times New Roman"/>
        </w:rPr>
        <w:t>3 术语和定义……………………………………………………………………………………………………2</w:t>
      </w:r>
    </w:p>
    <w:p>
      <w:pPr>
        <w:widowControl/>
        <w:adjustRightInd/>
        <w:spacing w:before="78" w:beforeLines="25" w:after="78" w:afterLines="25" w:line="240" w:lineRule="auto"/>
        <w:jc w:val="left"/>
        <w:rPr>
          <w:rFonts w:ascii="Times New Roman" w:hAnsi="Times New Roman"/>
        </w:rPr>
      </w:pPr>
      <w:r>
        <w:rPr>
          <w:rFonts w:hint="eastAsia" w:ascii="Times New Roman" w:hAnsi="Times New Roman"/>
        </w:rPr>
        <w:t>4 技术要求………………………………………………………………………………………………………4</w:t>
      </w:r>
    </w:p>
    <w:p>
      <w:pPr>
        <w:widowControl/>
        <w:adjustRightInd/>
        <w:spacing w:before="78" w:beforeLines="25" w:after="78" w:afterLines="25" w:line="240" w:lineRule="auto"/>
        <w:ind w:firstLine="140" w:firstLineChars="67"/>
        <w:jc w:val="distribute"/>
        <w:rPr>
          <w:rFonts w:ascii="Times New Roman" w:hAnsi="Times New Roman"/>
        </w:rPr>
      </w:pPr>
      <w:r>
        <w:rPr>
          <w:rFonts w:hint="eastAsia" w:ascii="Times New Roman" w:hAnsi="Times New Roman"/>
        </w:rPr>
        <w:t>4.1 分类与标记………………………………………………………………………………………………4</w:t>
      </w:r>
    </w:p>
    <w:p>
      <w:pPr>
        <w:widowControl/>
        <w:adjustRightInd/>
        <w:spacing w:before="78" w:beforeLines="25" w:after="78" w:afterLines="25" w:line="240" w:lineRule="auto"/>
        <w:ind w:firstLine="140" w:firstLineChars="67"/>
        <w:jc w:val="distribute"/>
        <w:rPr>
          <w:rFonts w:ascii="Times New Roman" w:hAnsi="Times New Roman"/>
        </w:rPr>
      </w:pPr>
      <w:r>
        <w:rPr>
          <w:rFonts w:hint="eastAsia" w:ascii="Times New Roman" w:hAnsi="Times New Roman"/>
        </w:rPr>
        <w:t>4.2 性能指标…………………………………………………………………………………………………4</w:t>
      </w:r>
    </w:p>
    <w:p>
      <w:pPr>
        <w:widowControl/>
        <w:adjustRightInd/>
        <w:spacing w:before="78" w:beforeLines="25" w:after="78" w:afterLines="25" w:line="240" w:lineRule="auto"/>
        <w:rPr>
          <w:rFonts w:ascii="Times New Roman" w:hAnsi="Times New Roman"/>
        </w:rPr>
      </w:pPr>
      <w:r>
        <w:rPr>
          <w:rFonts w:hint="eastAsia" w:ascii="Times New Roman" w:hAnsi="Times New Roman"/>
        </w:rPr>
        <w:t>5 原材料…………………………………………………………………………………………………………6</w:t>
      </w:r>
    </w:p>
    <w:p>
      <w:pPr>
        <w:widowControl/>
        <w:adjustRightInd/>
        <w:spacing w:before="78" w:beforeLines="25" w:after="78" w:afterLines="25" w:line="240" w:lineRule="auto"/>
        <w:ind w:firstLine="140" w:firstLineChars="67"/>
        <w:jc w:val="distribute"/>
        <w:rPr>
          <w:rFonts w:ascii="Times New Roman" w:hAnsi="Times New Roman"/>
        </w:rPr>
      </w:pPr>
      <w:r>
        <w:rPr>
          <w:rFonts w:hint="eastAsia" w:ascii="Times New Roman" w:hAnsi="Times New Roman"/>
        </w:rPr>
        <w:t>5.1 一般规定…………………………………………………………………………………………………7</w:t>
      </w:r>
    </w:p>
    <w:p>
      <w:pPr>
        <w:widowControl/>
        <w:adjustRightInd/>
        <w:spacing w:before="78" w:beforeLines="25" w:after="78" w:afterLines="25" w:line="240" w:lineRule="auto"/>
        <w:ind w:firstLine="140" w:firstLineChars="67"/>
        <w:jc w:val="distribute"/>
        <w:rPr>
          <w:rFonts w:ascii="Times New Roman" w:hAnsi="Times New Roman"/>
        </w:rPr>
      </w:pPr>
      <w:r>
        <w:rPr>
          <w:rFonts w:hint="eastAsia" w:ascii="Times New Roman" w:hAnsi="Times New Roman"/>
        </w:rPr>
        <w:t>5.2 水泥………………………………………………………………………………………………………7</w:t>
      </w:r>
    </w:p>
    <w:p>
      <w:pPr>
        <w:widowControl/>
        <w:adjustRightInd/>
        <w:spacing w:before="78" w:beforeLines="25" w:after="78" w:afterLines="25" w:line="240" w:lineRule="auto"/>
        <w:ind w:firstLine="140" w:firstLineChars="67"/>
        <w:jc w:val="distribute"/>
        <w:rPr>
          <w:rFonts w:ascii="Times New Roman" w:hAnsi="Times New Roman"/>
        </w:rPr>
      </w:pPr>
      <w:r>
        <w:rPr>
          <w:rFonts w:hint="eastAsia" w:ascii="Times New Roman" w:hAnsi="Times New Roman"/>
        </w:rPr>
        <w:t>5.3 细骨料……………………………………………………………………………………………………7</w:t>
      </w:r>
    </w:p>
    <w:p>
      <w:pPr>
        <w:widowControl/>
        <w:adjustRightInd/>
        <w:spacing w:before="78" w:beforeLines="25" w:after="78" w:afterLines="25" w:line="240" w:lineRule="auto"/>
        <w:ind w:firstLine="140" w:firstLineChars="67"/>
        <w:jc w:val="distribute"/>
        <w:rPr>
          <w:rFonts w:ascii="Times New Roman" w:hAnsi="Times New Roman"/>
        </w:rPr>
      </w:pPr>
      <w:r>
        <w:rPr>
          <w:rFonts w:hint="eastAsia" w:ascii="Times New Roman" w:hAnsi="Times New Roman"/>
        </w:rPr>
        <w:t>5.4 矿物掺合料、填料………………………………………………………………………………………7</w:t>
      </w:r>
    </w:p>
    <w:p>
      <w:pPr>
        <w:widowControl/>
        <w:adjustRightInd/>
        <w:spacing w:before="78" w:beforeLines="25" w:after="78" w:afterLines="25" w:line="240" w:lineRule="auto"/>
        <w:ind w:firstLine="140" w:firstLineChars="67"/>
        <w:jc w:val="distribute"/>
        <w:rPr>
          <w:rFonts w:ascii="Times New Roman" w:hAnsi="Times New Roman"/>
        </w:rPr>
      </w:pPr>
      <w:r>
        <w:rPr>
          <w:rFonts w:hint="eastAsia" w:ascii="Times New Roman" w:hAnsi="Times New Roman"/>
        </w:rPr>
        <w:t>5.5 砂浆外加剂………………………………………………………………………………………………7</w:t>
      </w:r>
    </w:p>
    <w:p>
      <w:pPr>
        <w:widowControl/>
        <w:adjustRightInd/>
        <w:spacing w:before="78" w:beforeLines="25" w:after="78" w:afterLines="25" w:line="240" w:lineRule="auto"/>
        <w:ind w:firstLine="140" w:firstLineChars="67"/>
        <w:jc w:val="distribute"/>
        <w:rPr>
          <w:rFonts w:ascii="Times New Roman" w:hAnsi="Times New Roman"/>
        </w:rPr>
      </w:pPr>
      <w:r>
        <w:rPr>
          <w:rFonts w:hint="eastAsia" w:ascii="Times New Roman" w:hAnsi="Times New Roman"/>
        </w:rPr>
        <w:t>5.6 其他………………………………………………………………………………………………………8</w:t>
      </w:r>
    </w:p>
    <w:p>
      <w:pPr>
        <w:widowControl/>
        <w:adjustRightInd/>
        <w:spacing w:before="78" w:beforeLines="25" w:after="78" w:afterLines="25" w:line="240" w:lineRule="auto"/>
        <w:jc w:val="left"/>
        <w:rPr>
          <w:rFonts w:ascii="Times New Roman" w:hAnsi="Times New Roman"/>
        </w:rPr>
      </w:pPr>
      <w:r>
        <w:rPr>
          <w:rFonts w:hint="eastAsia" w:ascii="Times New Roman" w:hAnsi="Times New Roman"/>
        </w:rPr>
        <w:t>6 生产质量控制…………………………………………………………………………………………………8</w:t>
      </w:r>
    </w:p>
    <w:p>
      <w:pPr>
        <w:widowControl/>
        <w:adjustRightInd/>
        <w:spacing w:before="78" w:beforeLines="25" w:after="78" w:afterLines="25" w:line="240" w:lineRule="auto"/>
        <w:ind w:firstLine="140" w:firstLineChars="67"/>
        <w:jc w:val="distribute"/>
        <w:rPr>
          <w:rFonts w:ascii="Times New Roman" w:hAnsi="Times New Roman"/>
        </w:rPr>
      </w:pPr>
      <w:r>
        <w:rPr>
          <w:rFonts w:hint="eastAsia" w:ascii="Times New Roman" w:hAnsi="Times New Roman"/>
        </w:rPr>
        <w:t>6.1 一般规定…………………………………………………………………………………………………8</w:t>
      </w:r>
    </w:p>
    <w:p>
      <w:pPr>
        <w:widowControl/>
        <w:adjustRightInd/>
        <w:spacing w:before="78" w:beforeLines="25" w:after="78" w:afterLines="25" w:line="240" w:lineRule="auto"/>
        <w:ind w:firstLine="140" w:firstLineChars="67"/>
        <w:jc w:val="distribute"/>
        <w:rPr>
          <w:rFonts w:ascii="Times New Roman" w:hAnsi="Times New Roman"/>
        </w:rPr>
      </w:pPr>
      <w:r>
        <w:rPr>
          <w:rFonts w:hint="eastAsia" w:ascii="Times New Roman" w:hAnsi="Times New Roman"/>
        </w:rPr>
        <w:t>6.2 原材料运输与存储………………………………………………………………………………………8</w:t>
      </w:r>
    </w:p>
    <w:p>
      <w:pPr>
        <w:widowControl/>
        <w:adjustRightInd/>
        <w:spacing w:before="78" w:beforeLines="25" w:after="78" w:afterLines="25" w:line="240" w:lineRule="auto"/>
        <w:ind w:firstLine="140" w:firstLineChars="67"/>
        <w:jc w:val="distribute"/>
        <w:rPr>
          <w:rFonts w:ascii="Times New Roman" w:hAnsi="Times New Roman"/>
        </w:rPr>
      </w:pPr>
      <w:r>
        <w:rPr>
          <w:rFonts w:hint="eastAsia" w:ascii="Times New Roman" w:hAnsi="Times New Roman"/>
        </w:rPr>
        <w:t>6.3 生产管理…………………………………………………………………………………………………8</w:t>
      </w:r>
    </w:p>
    <w:p>
      <w:pPr>
        <w:widowControl/>
        <w:adjustRightInd/>
        <w:spacing w:before="78" w:beforeLines="25" w:after="78" w:afterLines="25" w:line="240" w:lineRule="auto"/>
        <w:ind w:firstLine="140" w:firstLineChars="67"/>
        <w:jc w:val="left"/>
        <w:rPr>
          <w:rFonts w:ascii="Times New Roman" w:hAnsi="Times New Roman"/>
        </w:rPr>
      </w:pPr>
      <w:r>
        <w:rPr>
          <w:rFonts w:hint="eastAsia" w:ascii="Times New Roman" w:hAnsi="Times New Roman"/>
        </w:rPr>
        <w:t>6.4 产品包装、生产存储和成品运输………………………………………………………………………10</w:t>
      </w:r>
    </w:p>
    <w:p>
      <w:pPr>
        <w:widowControl/>
        <w:adjustRightInd/>
        <w:spacing w:before="78" w:beforeLines="25" w:after="78" w:afterLines="25" w:line="240" w:lineRule="auto"/>
        <w:ind w:firstLine="140" w:firstLineChars="67"/>
        <w:jc w:val="left"/>
        <w:rPr>
          <w:rFonts w:ascii="Times New Roman" w:hAnsi="Times New Roman"/>
        </w:rPr>
      </w:pPr>
      <w:r>
        <w:rPr>
          <w:rFonts w:hint="eastAsia" w:ascii="Times New Roman" w:hAnsi="Times New Roman"/>
        </w:rPr>
        <w:t>6.5 产品检验…………………………………………………………………………………………………10</w:t>
      </w:r>
    </w:p>
    <w:p>
      <w:pPr>
        <w:widowControl/>
        <w:adjustRightInd/>
        <w:spacing w:before="78" w:beforeLines="25" w:after="78" w:afterLines="25" w:line="240" w:lineRule="auto"/>
        <w:jc w:val="distribute"/>
        <w:rPr>
          <w:rFonts w:ascii="Times New Roman" w:hAnsi="Times New Roman"/>
        </w:rPr>
      </w:pPr>
      <w:r>
        <w:rPr>
          <w:rFonts w:hint="eastAsia" w:ascii="Times New Roman" w:hAnsi="Times New Roman"/>
        </w:rPr>
        <w:t>7 施工质量控制………………………………………………………………………………………………12</w:t>
      </w:r>
    </w:p>
    <w:p>
      <w:pPr>
        <w:widowControl/>
        <w:adjustRightInd/>
        <w:spacing w:before="78" w:beforeLines="25" w:after="78" w:afterLines="25" w:line="240" w:lineRule="auto"/>
        <w:ind w:firstLine="140" w:firstLineChars="67"/>
        <w:jc w:val="left"/>
        <w:rPr>
          <w:rFonts w:ascii="Times New Roman" w:hAnsi="Times New Roman"/>
        </w:rPr>
      </w:pPr>
      <w:r>
        <w:rPr>
          <w:rFonts w:hint="eastAsia" w:ascii="Times New Roman" w:hAnsi="Times New Roman"/>
        </w:rPr>
        <w:t>7.1 一般规定…………………………………………………………………………………………………12</w:t>
      </w:r>
    </w:p>
    <w:p>
      <w:pPr>
        <w:widowControl/>
        <w:adjustRightInd/>
        <w:spacing w:before="78" w:beforeLines="25" w:after="78" w:afterLines="25" w:line="240" w:lineRule="auto"/>
        <w:ind w:firstLine="140" w:firstLineChars="67"/>
        <w:jc w:val="left"/>
        <w:rPr>
          <w:rFonts w:ascii="Times New Roman" w:hAnsi="Times New Roman"/>
        </w:rPr>
      </w:pPr>
      <w:r>
        <w:rPr>
          <w:rFonts w:hint="eastAsia" w:ascii="Times New Roman" w:hAnsi="Times New Roman"/>
        </w:rPr>
        <w:t>7.2 施工准备…………………………………………………………………………………………………12</w:t>
      </w:r>
    </w:p>
    <w:p>
      <w:pPr>
        <w:widowControl/>
        <w:adjustRightInd/>
        <w:spacing w:before="78" w:beforeLines="25" w:after="78" w:afterLines="25" w:line="240" w:lineRule="auto"/>
        <w:ind w:firstLine="140" w:firstLineChars="67"/>
        <w:jc w:val="left"/>
        <w:rPr>
          <w:rFonts w:ascii="Times New Roman" w:hAnsi="Times New Roman"/>
        </w:rPr>
      </w:pPr>
      <w:r>
        <w:rPr>
          <w:rFonts w:hint="eastAsia" w:ascii="Times New Roman" w:hAnsi="Times New Roman"/>
        </w:rPr>
        <w:t>7.3 砌筑砂浆施工……………………………………………………………………………………………13</w:t>
      </w:r>
    </w:p>
    <w:p>
      <w:pPr>
        <w:widowControl/>
        <w:adjustRightInd/>
        <w:spacing w:before="78" w:beforeLines="25" w:after="78" w:afterLines="25" w:line="240" w:lineRule="auto"/>
        <w:ind w:firstLine="140" w:firstLineChars="67"/>
        <w:jc w:val="left"/>
        <w:rPr>
          <w:rFonts w:ascii="Times New Roman" w:hAnsi="Times New Roman"/>
        </w:rPr>
      </w:pPr>
      <w:r>
        <w:rPr>
          <w:rFonts w:hint="eastAsia" w:ascii="Times New Roman" w:hAnsi="Times New Roman"/>
        </w:rPr>
        <w:t>7.4 抹灰砂浆施工……………………………………………………………………………………………13</w:t>
      </w:r>
    </w:p>
    <w:p>
      <w:pPr>
        <w:widowControl/>
        <w:adjustRightInd/>
        <w:spacing w:before="78" w:beforeLines="25" w:after="78" w:afterLines="25" w:line="240" w:lineRule="auto"/>
        <w:ind w:firstLine="140" w:firstLineChars="67"/>
        <w:jc w:val="left"/>
        <w:rPr>
          <w:rFonts w:ascii="Times New Roman" w:hAnsi="Times New Roman"/>
        </w:rPr>
      </w:pPr>
      <w:r>
        <w:rPr>
          <w:rFonts w:hint="eastAsia" w:ascii="Times New Roman" w:hAnsi="Times New Roman"/>
        </w:rPr>
        <w:t>7.5 地面砂浆施工……………………………………………………………………………………………16</w:t>
      </w:r>
    </w:p>
    <w:p>
      <w:pPr>
        <w:widowControl/>
        <w:adjustRightInd/>
        <w:spacing w:before="78" w:beforeLines="25" w:after="78" w:afterLines="25" w:line="240" w:lineRule="auto"/>
        <w:ind w:firstLine="140" w:firstLineChars="67"/>
        <w:jc w:val="left"/>
        <w:rPr>
          <w:rFonts w:ascii="Times New Roman" w:hAnsi="Times New Roman"/>
        </w:rPr>
      </w:pPr>
      <w:r>
        <w:rPr>
          <w:rFonts w:hint="eastAsia" w:ascii="Times New Roman" w:hAnsi="Times New Roman"/>
        </w:rPr>
        <w:t>7.6 普通防水砂浆施工………………………………………………………………………………………16</w:t>
      </w:r>
    </w:p>
    <w:p>
      <w:pPr>
        <w:widowControl/>
        <w:adjustRightInd/>
        <w:spacing w:before="78" w:beforeLines="25" w:after="78" w:afterLines="25" w:line="240" w:lineRule="auto"/>
        <w:jc w:val="distribute"/>
        <w:rPr>
          <w:rFonts w:ascii="Times New Roman" w:hAnsi="Times New Roman"/>
        </w:rPr>
      </w:pPr>
      <w:r>
        <w:rPr>
          <w:rFonts w:hint="eastAsia" w:ascii="Times New Roman" w:hAnsi="Times New Roman"/>
        </w:rPr>
        <w:t>8 质量验收……………………………………………………………………………………………………17</w:t>
      </w:r>
    </w:p>
    <w:p>
      <w:pPr>
        <w:widowControl/>
        <w:adjustRightInd/>
        <w:spacing w:before="78" w:beforeLines="25" w:after="78" w:afterLines="25" w:line="240" w:lineRule="auto"/>
        <w:ind w:firstLine="140" w:firstLineChars="67"/>
        <w:jc w:val="left"/>
        <w:rPr>
          <w:rFonts w:ascii="Times New Roman" w:hAnsi="Times New Roman"/>
        </w:rPr>
      </w:pPr>
      <w:r>
        <w:rPr>
          <w:rFonts w:hint="eastAsia" w:ascii="Times New Roman" w:hAnsi="Times New Roman"/>
        </w:rPr>
        <w:t>8.1 一般规定…………………………………………………………………………………………………17</w:t>
      </w:r>
    </w:p>
    <w:p>
      <w:pPr>
        <w:widowControl/>
        <w:adjustRightInd/>
        <w:spacing w:before="78" w:beforeLines="25" w:after="78" w:afterLines="25" w:line="240" w:lineRule="auto"/>
        <w:ind w:firstLine="140" w:firstLineChars="67"/>
        <w:jc w:val="left"/>
        <w:rPr>
          <w:rFonts w:ascii="Times New Roman" w:hAnsi="Times New Roman"/>
        </w:rPr>
      </w:pPr>
      <w:r>
        <w:rPr>
          <w:rFonts w:hint="eastAsia" w:ascii="Times New Roman" w:hAnsi="Times New Roman"/>
        </w:rPr>
        <w:t>8.2 砌筑砂浆工程……………………………………………………………………………………………18</w:t>
      </w:r>
    </w:p>
    <w:p>
      <w:pPr>
        <w:widowControl/>
        <w:adjustRightInd/>
        <w:spacing w:before="78" w:beforeLines="25" w:after="78" w:afterLines="25" w:line="240" w:lineRule="auto"/>
        <w:ind w:firstLine="140" w:firstLineChars="67"/>
        <w:jc w:val="left"/>
        <w:rPr>
          <w:rFonts w:ascii="Times New Roman" w:hAnsi="Times New Roman"/>
        </w:rPr>
      </w:pPr>
      <w:r>
        <w:rPr>
          <w:rFonts w:hint="eastAsia" w:ascii="Times New Roman" w:hAnsi="Times New Roman"/>
        </w:rPr>
        <w:t>8.3 抹灰砂浆工程……………………………………………………………………………………………18</w:t>
      </w:r>
    </w:p>
    <w:p>
      <w:pPr>
        <w:widowControl/>
        <w:adjustRightInd/>
        <w:spacing w:before="78" w:beforeLines="25" w:after="78" w:afterLines="25" w:line="240" w:lineRule="auto"/>
        <w:ind w:firstLine="140" w:firstLineChars="67"/>
        <w:jc w:val="left"/>
        <w:rPr>
          <w:rFonts w:ascii="Times New Roman" w:hAnsi="Times New Roman"/>
        </w:rPr>
      </w:pPr>
      <w:r>
        <w:rPr>
          <w:rFonts w:hint="eastAsia" w:ascii="Times New Roman" w:hAnsi="Times New Roman"/>
        </w:rPr>
        <w:t>8.4 地面砂浆工程……………………………………………………………………………………………19</w:t>
      </w:r>
    </w:p>
    <w:p>
      <w:pPr>
        <w:widowControl/>
        <w:adjustRightInd/>
        <w:spacing w:before="78" w:beforeLines="25" w:after="78" w:afterLines="25" w:line="240" w:lineRule="auto"/>
        <w:ind w:firstLine="140" w:firstLineChars="67"/>
        <w:jc w:val="left"/>
        <w:rPr>
          <w:rFonts w:ascii="Times New Roman" w:hAnsi="Times New Roman"/>
        </w:rPr>
      </w:pPr>
      <w:r>
        <w:rPr>
          <w:rFonts w:hint="eastAsia" w:ascii="Times New Roman" w:hAnsi="Times New Roman"/>
        </w:rPr>
        <w:t>8.5 普通防水砂浆工程……………………………………………………………………………………20</w:t>
      </w:r>
    </w:p>
    <w:p>
      <w:pPr>
        <w:widowControl/>
        <w:adjustRightInd/>
        <w:spacing w:line="240" w:lineRule="auto"/>
        <w:jc w:val="left"/>
        <w:rPr>
          <w:rFonts w:ascii="黑体" w:eastAsia="黑体"/>
          <w:sz w:val="32"/>
        </w:rPr>
      </w:pPr>
      <w:r>
        <w:br w:type="page"/>
      </w:r>
    </w:p>
    <w:p>
      <w:pPr>
        <w:pStyle w:val="90"/>
        <w:spacing w:after="468"/>
      </w:pPr>
      <w:r>
        <w:rPr>
          <w:spacing w:val="320"/>
        </w:rPr>
        <w:t>前</w:t>
      </w:r>
      <w:r>
        <w:t>言</w:t>
      </w:r>
    </w:p>
    <w:p>
      <w:pPr>
        <w:pStyle w:val="57"/>
        <w:ind w:firstLine="420"/>
        <w:rPr>
          <w:rFonts w:ascii="Times New Roman"/>
        </w:rPr>
      </w:pPr>
      <w:r>
        <w:rPr>
          <w:rFonts w:ascii="Times New Roman"/>
        </w:rPr>
        <w:t>本规程按照GB/T 1.1—2020《标准化工作导则  第1部分：标准化文件的结构和起草规则》的规定起草。</w:t>
      </w:r>
    </w:p>
    <w:p>
      <w:pPr>
        <w:pStyle w:val="57"/>
        <w:ind w:firstLine="426" w:firstLineChars="0"/>
        <w:rPr>
          <w:rFonts w:ascii="Times New Roman"/>
        </w:rPr>
      </w:pPr>
      <w:r>
        <w:rPr>
          <w:rFonts w:hint="eastAsia" w:ascii="Times New Roman"/>
        </w:rPr>
        <w:t>本文件</w:t>
      </w:r>
      <w:r>
        <w:rPr>
          <w:rFonts w:ascii="Times New Roman"/>
        </w:rPr>
        <w:t>代替</w:t>
      </w:r>
      <w:r>
        <w:rPr>
          <w:rFonts w:hint="eastAsia" w:ascii="Times New Roman"/>
        </w:rPr>
        <w:t>DGJ32/T</w:t>
      </w:r>
      <w:r>
        <w:rPr>
          <w:rFonts w:ascii="Times New Roman"/>
        </w:rPr>
        <w:t>J 1</w:t>
      </w:r>
      <w:r>
        <w:rPr>
          <w:rFonts w:hint="eastAsia" w:ascii="Times New Roman"/>
        </w:rPr>
        <w:t>9</w:t>
      </w:r>
      <w:r>
        <w:rPr>
          <w:rFonts w:ascii="Times New Roman"/>
        </w:rPr>
        <w:t>6</w:t>
      </w:r>
      <w:r>
        <w:rPr>
          <w:rFonts w:hint="eastAsia" w:ascii="Times New Roman"/>
        </w:rPr>
        <w:t>-2015《预拌砂浆技术规程》，</w:t>
      </w:r>
      <w:r>
        <w:rPr>
          <w:rFonts w:ascii="Times New Roman"/>
        </w:rPr>
        <w:t>与</w:t>
      </w:r>
      <w:r>
        <w:rPr>
          <w:rFonts w:hint="eastAsia" w:ascii="Times New Roman"/>
        </w:rPr>
        <w:t>DGJ32/T</w:t>
      </w:r>
      <w:r>
        <w:rPr>
          <w:rFonts w:ascii="Times New Roman"/>
        </w:rPr>
        <w:t>J 1</w:t>
      </w:r>
      <w:r>
        <w:rPr>
          <w:rFonts w:hint="eastAsia" w:ascii="Times New Roman"/>
        </w:rPr>
        <w:t>9</w:t>
      </w:r>
      <w:r>
        <w:rPr>
          <w:rFonts w:ascii="Times New Roman"/>
        </w:rPr>
        <w:t>6</w:t>
      </w:r>
      <w:r>
        <w:rPr>
          <w:rFonts w:hint="eastAsia" w:ascii="Times New Roman"/>
        </w:rPr>
        <w:t>-2015相比</w:t>
      </w:r>
      <w:r>
        <w:rPr>
          <w:rFonts w:ascii="Times New Roman"/>
        </w:rPr>
        <w:t>，除结构调整和编辑性改动外，主要技术变化如下：</w:t>
      </w:r>
    </w:p>
    <w:p>
      <w:pPr>
        <w:pStyle w:val="57"/>
        <w:ind w:firstLine="420"/>
        <w:rPr>
          <w:rFonts w:ascii="Times New Roman"/>
        </w:rPr>
      </w:pPr>
      <w:r>
        <w:rPr>
          <w:rFonts w:ascii="Times New Roman"/>
        </w:rPr>
        <w:t>――</w:t>
      </w:r>
      <w:r>
        <w:rPr>
          <w:rFonts w:hint="eastAsia" w:ascii="Times New Roman"/>
        </w:rPr>
        <w:t>增加</w:t>
      </w:r>
      <w:r>
        <w:rPr>
          <w:rFonts w:ascii="Times New Roman"/>
        </w:rPr>
        <w:t>、修订了部分术语</w:t>
      </w:r>
      <w:r>
        <w:rPr>
          <w:rFonts w:hint="eastAsia" w:ascii="Times New Roman"/>
        </w:rPr>
        <w:t>；</w:t>
      </w:r>
    </w:p>
    <w:p>
      <w:pPr>
        <w:pStyle w:val="57"/>
        <w:ind w:firstLine="420"/>
        <w:rPr>
          <w:rFonts w:ascii="Times New Roman"/>
        </w:rPr>
      </w:pPr>
      <w:r>
        <w:rPr>
          <w:rFonts w:ascii="Times New Roman"/>
        </w:rPr>
        <w:t>――删除了“</w:t>
      </w:r>
      <w:r>
        <w:rPr>
          <w:rFonts w:hint="eastAsia" w:ascii="Times New Roman"/>
        </w:rPr>
        <w:t>特种砂浆</w:t>
      </w:r>
      <w:r>
        <w:rPr>
          <w:rFonts w:ascii="Times New Roman"/>
        </w:rPr>
        <w:t>”</w:t>
      </w:r>
      <w:r>
        <w:rPr>
          <w:rFonts w:hint="eastAsia" w:ascii="Times New Roman"/>
        </w:rPr>
        <w:t>的</w:t>
      </w:r>
      <w:r>
        <w:rPr>
          <w:rFonts w:ascii="Times New Roman"/>
        </w:rPr>
        <w:t>相关</w:t>
      </w:r>
      <w:r>
        <w:rPr>
          <w:rFonts w:hint="eastAsia" w:ascii="Times New Roman"/>
        </w:rPr>
        <w:t>条款；</w:t>
      </w:r>
    </w:p>
    <w:p>
      <w:pPr>
        <w:pStyle w:val="57"/>
        <w:ind w:firstLine="420"/>
        <w:rPr>
          <w:rFonts w:ascii="Times New Roman"/>
        </w:rPr>
      </w:pPr>
      <w:bookmarkStart w:id="22" w:name="OLE_LINK3"/>
      <w:r>
        <w:rPr>
          <w:rFonts w:ascii="Times New Roman"/>
        </w:rPr>
        <w:t>――</w:t>
      </w:r>
      <w:bookmarkEnd w:id="22"/>
      <w:r>
        <w:rPr>
          <w:rFonts w:hint="eastAsia" w:ascii="Times New Roman"/>
        </w:rPr>
        <w:t>增加</w:t>
      </w:r>
      <w:r>
        <w:rPr>
          <w:rFonts w:ascii="Times New Roman"/>
        </w:rPr>
        <w:t>了</w:t>
      </w:r>
      <w:r>
        <w:rPr>
          <w:rFonts w:hint="eastAsia" w:ascii="Times New Roman"/>
        </w:rPr>
        <w:t>“铁尾矿砂”、“再生微粉”、</w:t>
      </w:r>
      <w:r>
        <w:rPr>
          <w:rFonts w:ascii="Times New Roman"/>
        </w:rPr>
        <w:t>“</w:t>
      </w:r>
      <w:r>
        <w:rPr>
          <w:rFonts w:hint="eastAsia" w:ascii="Times New Roman"/>
        </w:rPr>
        <w:t>纤维</w:t>
      </w:r>
      <w:r>
        <w:rPr>
          <w:rFonts w:ascii="Times New Roman"/>
        </w:rPr>
        <w:t>”</w:t>
      </w:r>
      <w:r>
        <w:rPr>
          <w:rFonts w:hint="eastAsia" w:ascii="Times New Roman"/>
        </w:rPr>
        <w:t>等原材料技术要求；</w:t>
      </w:r>
    </w:p>
    <w:p>
      <w:pPr>
        <w:pStyle w:val="57"/>
        <w:ind w:firstLine="420"/>
        <w:rPr>
          <w:rFonts w:ascii="Times New Roman"/>
        </w:rPr>
      </w:pPr>
      <w:r>
        <w:rPr>
          <w:rFonts w:ascii="Times New Roman"/>
        </w:rPr>
        <w:t>――</w:t>
      </w:r>
      <w:r>
        <w:rPr>
          <w:rFonts w:hint="eastAsia" w:ascii="Times New Roman"/>
        </w:rPr>
        <w:t>增加了原材料组批要求；</w:t>
      </w:r>
    </w:p>
    <w:p>
      <w:pPr>
        <w:pStyle w:val="57"/>
        <w:ind w:firstLine="420"/>
        <w:rPr>
          <w:rFonts w:ascii="Times New Roman"/>
        </w:rPr>
      </w:pPr>
      <w:r>
        <w:rPr>
          <w:rFonts w:ascii="Times New Roman"/>
        </w:rPr>
        <w:t>――</w:t>
      </w:r>
      <w:r>
        <w:rPr>
          <w:rFonts w:hint="eastAsia" w:ascii="Times New Roman"/>
        </w:rPr>
        <w:t>增加</w:t>
      </w:r>
      <w:r>
        <w:rPr>
          <w:rFonts w:ascii="Times New Roman"/>
        </w:rPr>
        <w:t>了</w:t>
      </w:r>
      <w:r>
        <w:rPr>
          <w:rFonts w:hint="eastAsia" w:ascii="Times New Roman"/>
        </w:rPr>
        <w:t>普通防水砂浆施工和质量验收的要求；</w:t>
      </w:r>
    </w:p>
    <w:p>
      <w:pPr>
        <w:pStyle w:val="57"/>
        <w:ind w:firstLine="420"/>
        <w:rPr>
          <w:rFonts w:ascii="Times New Roman"/>
        </w:rPr>
      </w:pPr>
      <w:r>
        <w:rPr>
          <w:rFonts w:hint="eastAsia" w:ascii="Times New Roman"/>
        </w:rPr>
        <w:t>请注意</w:t>
      </w:r>
      <w:r>
        <w:rPr>
          <w:rFonts w:ascii="Times New Roman"/>
        </w:rPr>
        <w:t>本文件的某些内容可能涉及专利</w:t>
      </w:r>
      <w:r>
        <w:rPr>
          <w:rFonts w:hint="eastAsia" w:ascii="Times New Roman"/>
        </w:rPr>
        <w:t>。</w:t>
      </w:r>
      <w:r>
        <w:rPr>
          <w:rFonts w:ascii="Times New Roman"/>
        </w:rPr>
        <w:t>本文件的发布机构不承担识别专利的责任。</w:t>
      </w:r>
    </w:p>
    <w:p>
      <w:pPr>
        <w:pStyle w:val="57"/>
        <w:ind w:firstLine="420"/>
        <w:rPr>
          <w:rFonts w:ascii="Times New Roman"/>
        </w:rPr>
      </w:pPr>
      <w:r>
        <w:rPr>
          <w:rFonts w:hint="eastAsia" w:ascii="Times New Roman"/>
        </w:rPr>
        <w:t>本文件由江苏省住房和城乡建设厅提出、归口并组织实施。</w:t>
      </w:r>
    </w:p>
    <w:p>
      <w:pPr>
        <w:pStyle w:val="57"/>
        <w:ind w:firstLine="420"/>
        <w:rPr>
          <w:rFonts w:ascii="Times New Roman"/>
        </w:rPr>
      </w:pPr>
      <w:r>
        <w:rPr>
          <w:rFonts w:ascii="Times New Roman"/>
        </w:rPr>
        <w:t>本</w:t>
      </w:r>
      <w:r>
        <w:rPr>
          <w:rFonts w:hint="eastAsia" w:ascii="Times New Roman"/>
        </w:rPr>
        <w:t>文件</w:t>
      </w:r>
      <w:r>
        <w:rPr>
          <w:rFonts w:ascii="Times New Roman"/>
        </w:rPr>
        <w:t>起草单位：</w:t>
      </w:r>
      <w:r>
        <w:rPr>
          <w:rFonts w:hint="eastAsia" w:ascii="Times New Roman"/>
        </w:rPr>
        <w:t>江苏省建筑科学研究院有限公司、东南大学、</w:t>
      </w:r>
      <w:r>
        <w:rPr>
          <w:rFonts w:ascii="Times New Roman"/>
        </w:rPr>
        <w:t>江苏省建筑工程质量检测中心有限公司、</w:t>
      </w:r>
      <w:r>
        <w:rPr>
          <w:rFonts w:hint="eastAsia" w:ascii="Times New Roman"/>
        </w:rPr>
        <w:t>江苏镇江建筑科学研究院集团股份有限公司、江苏能娃科技股份有限公司、江苏昆腾新材料科技有限公司</w:t>
      </w:r>
      <w:r>
        <w:rPr>
          <w:rFonts w:ascii="Times New Roman"/>
        </w:rPr>
        <w:t>。</w:t>
      </w:r>
    </w:p>
    <w:p>
      <w:pPr>
        <w:pStyle w:val="57"/>
        <w:ind w:firstLine="420"/>
        <w:rPr>
          <w:rFonts w:ascii="Times New Roman"/>
        </w:rPr>
      </w:pPr>
      <w:r>
        <w:rPr>
          <w:rFonts w:ascii="Times New Roman"/>
        </w:rPr>
        <w:t>本</w:t>
      </w:r>
      <w:r>
        <w:rPr>
          <w:rFonts w:hint="eastAsia" w:ascii="Times New Roman"/>
        </w:rPr>
        <w:t>文件</w:t>
      </w:r>
      <w:r>
        <w:rPr>
          <w:rFonts w:ascii="Times New Roman"/>
        </w:rPr>
        <w:t>主要起草人：</w:t>
      </w:r>
      <w:r>
        <w:rPr>
          <w:rFonts w:hint="eastAsia" w:ascii="Times New Roman"/>
        </w:rPr>
        <w:t>沙建芳、潘钢华、周新文、付文强、富莹、陈春、殷俊、巫业磊、杜加伟、徐海源、蒙海宁、陈恒健、李长风、王秀梅。</w:t>
      </w:r>
    </w:p>
    <w:p>
      <w:pPr>
        <w:pStyle w:val="232"/>
        <w:ind w:left="420" w:leftChars="200" w:firstLine="0" w:firstLineChars="0"/>
        <w:rPr>
          <w:rFonts w:ascii="Times New Roman"/>
          <w:szCs w:val="22"/>
        </w:rPr>
      </w:pPr>
      <w:r>
        <w:rPr>
          <w:rFonts w:hint="eastAsia" w:ascii="Times New Roman"/>
          <w:szCs w:val="22"/>
        </w:rPr>
        <w:t>本文件</w:t>
      </w:r>
      <w:r>
        <w:rPr>
          <w:rFonts w:ascii="Times New Roman"/>
          <w:szCs w:val="22"/>
        </w:rPr>
        <w:t>及其所替代文件的历次版本发布情况为：</w:t>
      </w:r>
    </w:p>
    <w:p>
      <w:pPr>
        <w:pStyle w:val="232"/>
        <w:ind w:left="420" w:leftChars="200" w:firstLine="0" w:firstLineChars="0"/>
        <w:rPr>
          <w:rFonts w:ascii="Times New Roman"/>
        </w:rPr>
      </w:pPr>
      <w:r>
        <w:rPr>
          <w:rFonts w:ascii="Times New Roman"/>
        </w:rPr>
        <w:t>――</w:t>
      </w:r>
      <w:r>
        <w:rPr>
          <w:rFonts w:ascii="Times New Roman"/>
          <w:szCs w:val="22"/>
        </w:rPr>
        <w:t>20</w:t>
      </w:r>
      <w:r>
        <w:rPr>
          <w:rFonts w:hint="eastAsia" w:ascii="Times New Roman"/>
          <w:szCs w:val="22"/>
        </w:rPr>
        <w:t>05年</w:t>
      </w:r>
      <w:r>
        <w:rPr>
          <w:rFonts w:ascii="Times New Roman"/>
          <w:szCs w:val="22"/>
        </w:rPr>
        <w:t>首次发布为</w:t>
      </w:r>
      <w:r>
        <w:rPr>
          <w:rFonts w:hint="eastAsia" w:ascii="Times New Roman"/>
        </w:rPr>
        <w:t>DGJ32/</w:t>
      </w:r>
      <w:r>
        <w:rPr>
          <w:rFonts w:ascii="Times New Roman"/>
        </w:rPr>
        <w:t>J 13</w:t>
      </w:r>
      <w:r>
        <w:rPr>
          <w:rFonts w:hint="eastAsia" w:ascii="Times New Roman"/>
        </w:rPr>
        <w:t>-2005</w:t>
      </w:r>
      <w:r>
        <w:rPr>
          <w:rFonts w:hint="eastAsia" w:ascii="Times New Roman"/>
          <w:lang w:eastAsia="zh-CN"/>
        </w:rPr>
        <w:t>，2016年第一次修订</w:t>
      </w:r>
      <w:r>
        <w:rPr>
          <w:rFonts w:hint="eastAsia" w:ascii="Times New Roman"/>
        </w:rPr>
        <w:t>；</w:t>
      </w:r>
    </w:p>
    <w:p>
      <w:pPr>
        <w:pStyle w:val="232"/>
        <w:ind w:left="420" w:leftChars="200" w:firstLine="0" w:firstLineChars="0"/>
        <w:rPr>
          <w:rFonts w:ascii="Times New Roman"/>
          <w:szCs w:val="22"/>
        </w:rPr>
      </w:pPr>
      <w:r>
        <w:rPr>
          <w:rFonts w:ascii="Times New Roman"/>
        </w:rPr>
        <w:t>――</w:t>
      </w:r>
      <w:r>
        <w:rPr>
          <w:rFonts w:hint="eastAsia" w:ascii="Times New Roman"/>
          <w:szCs w:val="22"/>
        </w:rPr>
        <w:t>本次</w:t>
      </w:r>
      <w:r>
        <w:rPr>
          <w:rFonts w:ascii="Times New Roman"/>
          <w:szCs w:val="22"/>
        </w:rPr>
        <w:t>为第</w:t>
      </w:r>
      <w:r>
        <w:rPr>
          <w:rFonts w:hint="eastAsia" w:ascii="Times New Roman"/>
          <w:szCs w:val="22"/>
        </w:rPr>
        <w:t>二</w:t>
      </w:r>
      <w:r>
        <w:rPr>
          <w:rFonts w:ascii="Times New Roman"/>
          <w:szCs w:val="22"/>
        </w:rPr>
        <w:t>次修订</w:t>
      </w:r>
      <w:r>
        <w:rPr>
          <w:rFonts w:hint="eastAsia" w:ascii="Times New Roman"/>
          <w:szCs w:val="22"/>
        </w:rPr>
        <w:t>。</w:t>
      </w:r>
    </w:p>
    <w:p>
      <w:pPr>
        <w:pStyle w:val="57"/>
        <w:ind w:firstLine="420"/>
      </w:pPr>
    </w:p>
    <w:p>
      <w:pPr>
        <w:pStyle w:val="57"/>
        <w:ind w:firstLine="420"/>
      </w:pPr>
    </w:p>
    <w:p>
      <w:pPr>
        <w:pStyle w:val="57"/>
        <w:ind w:firstLine="420"/>
      </w:pPr>
    </w:p>
    <w:p>
      <w:pPr>
        <w:pStyle w:val="57"/>
        <w:ind w:firstLine="199" w:firstLineChars="95"/>
        <w:sectPr>
          <w:headerReference r:id="rId11" w:type="default"/>
          <w:footerReference r:id="rId13" w:type="default"/>
          <w:headerReference r:id="rId12" w:type="even"/>
          <w:pgSz w:w="11906" w:h="16838"/>
          <w:pgMar w:top="567" w:right="1134" w:bottom="1134" w:left="1134" w:header="1418" w:footer="1134" w:gutter="284"/>
          <w:pgNumType w:fmt="upperRoman" w:start="1"/>
          <w:cols w:space="425" w:num="1"/>
          <w:formProt w:val="0"/>
          <w:docGrid w:type="lines" w:linePitch="312" w:charSpace="0"/>
        </w:sectPr>
      </w:pPr>
      <w:bookmarkStart w:id="55" w:name="_GoBack"/>
      <w:bookmarkEnd w:id="55"/>
    </w:p>
    <w:bookmarkEnd w:id="21"/>
    <w:p>
      <w:pPr>
        <w:spacing w:line="20" w:lineRule="exact"/>
        <w:jc w:val="center"/>
        <w:rPr>
          <w:rFonts w:hint="eastAsia" w:ascii="黑体" w:hAnsi="黑体" w:eastAsia="黑体"/>
          <w:sz w:val="32"/>
          <w:szCs w:val="32"/>
        </w:rPr>
      </w:pPr>
      <w:bookmarkStart w:id="23"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9E3B628B95164B5A8436AB1B13CD098E"/>
        </w:placeholder>
      </w:sdtPr>
      <w:sdtContent>
        <w:p>
          <w:pPr>
            <w:pStyle w:val="178"/>
            <w:spacing w:before="567" w:beforeLines="182" w:after="686" w:afterLines="220"/>
            <w:rPr>
              <w:rFonts w:hint="eastAsia"/>
            </w:rPr>
          </w:pPr>
          <w:bookmarkStart w:id="24" w:name="NEW_STAND_NAME"/>
          <w:r>
            <w:rPr>
              <w:rFonts w:hint="eastAsia"/>
            </w:rPr>
            <w:t>预拌砂浆技术规程</w:t>
          </w:r>
        </w:p>
      </w:sdtContent>
    </w:sdt>
    <w:bookmarkEnd w:id="24"/>
    <w:p>
      <w:pPr>
        <w:pStyle w:val="105"/>
        <w:spacing w:before="312" w:after="312"/>
      </w:pPr>
      <w:bookmarkStart w:id="25" w:name="_Toc26986771"/>
      <w:bookmarkStart w:id="26" w:name="_Toc24884218"/>
      <w:bookmarkStart w:id="27" w:name="_Toc17233333"/>
      <w:bookmarkStart w:id="28" w:name="_Toc17233325"/>
      <w:bookmarkStart w:id="29" w:name="_Toc24884211"/>
      <w:bookmarkStart w:id="30" w:name="_Toc26718930"/>
      <w:bookmarkStart w:id="31" w:name="_Toc26648465"/>
      <w:bookmarkStart w:id="32" w:name="_Toc26986530"/>
      <w:r>
        <w:rPr>
          <w:rFonts w:hint="eastAsia"/>
        </w:rPr>
        <w:t>范围</w:t>
      </w:r>
      <w:bookmarkEnd w:id="25"/>
      <w:bookmarkEnd w:id="26"/>
      <w:bookmarkEnd w:id="27"/>
      <w:bookmarkEnd w:id="28"/>
      <w:bookmarkEnd w:id="29"/>
      <w:bookmarkEnd w:id="30"/>
      <w:bookmarkEnd w:id="31"/>
      <w:bookmarkEnd w:id="32"/>
    </w:p>
    <w:p>
      <w:pPr>
        <w:pStyle w:val="57"/>
        <w:ind w:firstLine="420"/>
      </w:pPr>
      <w:bookmarkStart w:id="33" w:name="_Toc24884219"/>
      <w:bookmarkStart w:id="34" w:name="_Toc17233334"/>
      <w:bookmarkStart w:id="35" w:name="_Toc17233326"/>
      <w:bookmarkStart w:id="36" w:name="_Toc24884212"/>
      <w:bookmarkStart w:id="37" w:name="_Toc26648466"/>
      <w:r>
        <w:rPr>
          <w:rFonts w:hint="eastAsia"/>
        </w:rPr>
        <w:t>本规程适用于工业与民用建筑物中使用的预拌砌筑砂浆、抹灰砂浆、地面砂浆和普通防水砂浆的生产和应用。</w:t>
      </w:r>
    </w:p>
    <w:p>
      <w:pPr>
        <w:pStyle w:val="105"/>
        <w:spacing w:before="312" w:after="312"/>
      </w:pPr>
      <w:bookmarkStart w:id="38" w:name="_Toc26986772"/>
      <w:bookmarkStart w:id="39" w:name="_Toc26718931"/>
      <w:bookmarkStart w:id="40" w:name="_Toc26986531"/>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62D9E1DA5C7F456AB4F98DFF945F359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autoSpaceDE w:val="0"/>
        <w:autoSpaceDN w:val="0"/>
        <w:spacing w:line="240" w:lineRule="auto"/>
        <w:ind w:firstLine="424" w:firstLineChars="202"/>
        <w:rPr>
          <w:rFonts w:ascii="Times New Roman" w:hAnsi="Times New Roman"/>
          <w:kern w:val="0"/>
        </w:rPr>
      </w:pPr>
      <w:r>
        <w:rPr>
          <w:rFonts w:ascii="Times New Roman" w:hAnsi="Times New Roman"/>
          <w:kern w:val="0"/>
        </w:rPr>
        <w:t>GB 175</w:t>
      </w:r>
      <w:r>
        <w:rPr>
          <w:rFonts w:hint="eastAsia" w:ascii="Times New Roman" w:hAnsi="Times New Roman"/>
          <w:kern w:val="0"/>
        </w:rPr>
        <w:t xml:space="preserve"> </w:t>
      </w:r>
      <w:r>
        <w:rPr>
          <w:rFonts w:ascii="Times New Roman" w:hAnsi="Times New Roman"/>
          <w:kern w:val="0"/>
        </w:rPr>
        <w:t>通用硅酸盐水泥</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GB/T 1596</w:t>
      </w:r>
      <w:r>
        <w:rPr>
          <w:rFonts w:hint="eastAsia" w:ascii="Times New Roman" w:hAnsi="Times New Roman"/>
          <w:kern w:val="0"/>
        </w:rPr>
        <w:t xml:space="preserve"> </w:t>
      </w:r>
      <w:r>
        <w:rPr>
          <w:rFonts w:ascii="Times New Roman" w:hAnsi="Times New Roman"/>
          <w:kern w:val="0"/>
        </w:rPr>
        <w:t>用于水泥和混凝土中的粉煤灰</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GB 8076</w:t>
      </w:r>
      <w:r>
        <w:rPr>
          <w:rFonts w:hint="eastAsia" w:ascii="Times New Roman" w:hAnsi="Times New Roman"/>
          <w:kern w:val="0"/>
        </w:rPr>
        <w:t xml:space="preserve"> </w:t>
      </w:r>
      <w:r>
        <w:rPr>
          <w:rFonts w:ascii="Times New Roman" w:hAnsi="Times New Roman"/>
          <w:kern w:val="0"/>
        </w:rPr>
        <w:t>混凝土外加剂</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GB/T 9142</w:t>
      </w:r>
      <w:r>
        <w:rPr>
          <w:rFonts w:hint="eastAsia" w:ascii="Times New Roman" w:hAnsi="Times New Roman"/>
          <w:kern w:val="0"/>
        </w:rPr>
        <w:t xml:space="preserve"> </w:t>
      </w:r>
      <w:r>
        <w:rPr>
          <w:rFonts w:ascii="Times New Roman" w:hAnsi="Times New Roman"/>
          <w:kern w:val="0"/>
        </w:rPr>
        <w:t>建筑施工机械与设备 混凝土搅拌机</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GB/T 9774</w:t>
      </w:r>
      <w:r>
        <w:rPr>
          <w:rFonts w:hint="eastAsia" w:ascii="Times New Roman" w:hAnsi="Times New Roman"/>
          <w:kern w:val="0"/>
        </w:rPr>
        <w:t xml:space="preserve"> </w:t>
      </w:r>
      <w:r>
        <w:rPr>
          <w:rFonts w:ascii="Times New Roman" w:hAnsi="Times New Roman"/>
          <w:kern w:val="0"/>
        </w:rPr>
        <w:t>水泥包装袋</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GB/T 14684</w:t>
      </w:r>
      <w:r>
        <w:rPr>
          <w:rFonts w:hint="eastAsia" w:ascii="Times New Roman" w:hAnsi="Times New Roman"/>
          <w:kern w:val="0"/>
        </w:rPr>
        <w:t xml:space="preserve"> </w:t>
      </w:r>
      <w:r>
        <w:rPr>
          <w:rFonts w:ascii="Times New Roman" w:hAnsi="Times New Roman"/>
          <w:kern w:val="0"/>
        </w:rPr>
        <w:t>建设用砂</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GB/T 18046</w:t>
      </w:r>
      <w:r>
        <w:rPr>
          <w:rFonts w:hint="eastAsia" w:ascii="Times New Roman" w:hAnsi="Times New Roman"/>
          <w:kern w:val="0"/>
        </w:rPr>
        <w:t xml:space="preserve"> </w:t>
      </w:r>
      <w:r>
        <w:rPr>
          <w:rFonts w:ascii="Times New Roman" w:hAnsi="Times New Roman"/>
          <w:kern w:val="0"/>
        </w:rPr>
        <w:t>用于水泥、砂浆和混凝土中的粒化高炉矿渣粉</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GB/T 21120</w:t>
      </w:r>
      <w:r>
        <w:rPr>
          <w:rFonts w:hint="eastAsia" w:ascii="Times New Roman" w:hAnsi="Times New Roman"/>
          <w:kern w:val="0"/>
        </w:rPr>
        <w:t xml:space="preserve"> </w:t>
      </w:r>
      <w:r>
        <w:rPr>
          <w:rFonts w:ascii="Times New Roman" w:hAnsi="Times New Roman"/>
          <w:kern w:val="0"/>
        </w:rPr>
        <w:t>水泥混凝土和砂浆用合成纤维</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GB/T 23439</w:t>
      </w:r>
      <w:r>
        <w:rPr>
          <w:rFonts w:hint="eastAsia" w:ascii="Times New Roman" w:hAnsi="Times New Roman"/>
          <w:kern w:val="0"/>
        </w:rPr>
        <w:t xml:space="preserve"> </w:t>
      </w:r>
      <w:r>
        <w:rPr>
          <w:rFonts w:ascii="Times New Roman" w:hAnsi="Times New Roman"/>
          <w:kern w:val="0"/>
        </w:rPr>
        <w:t>混凝土膨胀剂</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GB/T 25176</w:t>
      </w:r>
      <w:r>
        <w:rPr>
          <w:rFonts w:hint="eastAsia" w:ascii="Times New Roman" w:hAnsi="Times New Roman"/>
          <w:kern w:val="0"/>
        </w:rPr>
        <w:t xml:space="preserve"> </w:t>
      </w:r>
      <w:r>
        <w:rPr>
          <w:rFonts w:ascii="Times New Roman" w:hAnsi="Times New Roman"/>
          <w:kern w:val="0"/>
        </w:rPr>
        <w:t>混凝土和砂浆用再生细骨料</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GB/T 25181</w:t>
      </w:r>
      <w:r>
        <w:rPr>
          <w:rFonts w:hint="eastAsia" w:ascii="Times New Roman" w:hAnsi="Times New Roman"/>
          <w:kern w:val="0"/>
        </w:rPr>
        <w:t xml:space="preserve"> </w:t>
      </w:r>
      <w:r>
        <w:rPr>
          <w:rFonts w:ascii="Times New Roman" w:hAnsi="Times New Roman"/>
          <w:kern w:val="0"/>
        </w:rPr>
        <w:t>预拌砂浆</w:t>
      </w:r>
    </w:p>
    <w:p>
      <w:pPr>
        <w:autoSpaceDE w:val="0"/>
        <w:autoSpaceDN w:val="0"/>
        <w:spacing w:line="240" w:lineRule="auto"/>
        <w:ind w:firstLine="424" w:firstLineChars="202"/>
        <w:rPr>
          <w:rFonts w:ascii="Times New Roman" w:hAnsi="Times New Roman"/>
          <w:kern w:val="0"/>
        </w:rPr>
      </w:pPr>
      <w:r>
        <w:rPr>
          <w:rFonts w:ascii="Times New Roman" w:hAnsi="Times New Roman"/>
        </w:rPr>
        <w:t>GB/T 26408</w:t>
      </w:r>
      <w:r>
        <w:rPr>
          <w:rFonts w:hint="eastAsia" w:ascii="Times New Roman" w:hAnsi="Times New Roman"/>
        </w:rPr>
        <w:t xml:space="preserve"> </w:t>
      </w:r>
      <w:r>
        <w:rPr>
          <w:rFonts w:ascii="Times New Roman" w:hAnsi="Times New Roman"/>
        </w:rPr>
        <w:t>混凝土搅拌运输车</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GB/T 27690</w:t>
      </w:r>
      <w:r>
        <w:rPr>
          <w:rFonts w:hint="eastAsia" w:ascii="Times New Roman" w:hAnsi="Times New Roman"/>
          <w:kern w:val="0"/>
        </w:rPr>
        <w:t xml:space="preserve"> </w:t>
      </w:r>
      <w:r>
        <w:rPr>
          <w:rFonts w:ascii="Times New Roman" w:hAnsi="Times New Roman"/>
          <w:kern w:val="0"/>
        </w:rPr>
        <w:t>砂浆和混凝土用硅灰</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GB/T 31288</w:t>
      </w:r>
      <w:r>
        <w:rPr>
          <w:rFonts w:hint="eastAsia" w:ascii="Times New Roman" w:hAnsi="Times New Roman"/>
          <w:kern w:val="0"/>
        </w:rPr>
        <w:t xml:space="preserve"> </w:t>
      </w:r>
      <w:r>
        <w:rPr>
          <w:rFonts w:ascii="Times New Roman" w:hAnsi="Times New Roman"/>
          <w:kern w:val="0"/>
        </w:rPr>
        <w:t>铁尾矿砂</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GB 50203</w:t>
      </w:r>
      <w:r>
        <w:rPr>
          <w:rFonts w:hint="eastAsia" w:ascii="Times New Roman" w:hAnsi="Times New Roman"/>
          <w:kern w:val="0"/>
        </w:rPr>
        <w:t xml:space="preserve"> </w:t>
      </w:r>
      <w:r>
        <w:rPr>
          <w:rFonts w:ascii="Times New Roman" w:hAnsi="Times New Roman"/>
          <w:kern w:val="0"/>
        </w:rPr>
        <w:t>砌体结构工程施工质量验收规范</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GB 50207</w:t>
      </w:r>
      <w:r>
        <w:rPr>
          <w:rFonts w:hint="eastAsia" w:ascii="Times New Roman" w:hAnsi="Times New Roman"/>
          <w:kern w:val="0"/>
        </w:rPr>
        <w:t xml:space="preserve"> </w:t>
      </w:r>
      <w:r>
        <w:rPr>
          <w:rFonts w:ascii="Times New Roman" w:hAnsi="Times New Roman"/>
          <w:kern w:val="0"/>
        </w:rPr>
        <w:t>屋面工程质量验收规范</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GB 50209</w:t>
      </w:r>
      <w:r>
        <w:rPr>
          <w:rFonts w:hint="eastAsia" w:ascii="Times New Roman" w:hAnsi="Times New Roman"/>
          <w:kern w:val="0"/>
        </w:rPr>
        <w:t xml:space="preserve"> </w:t>
      </w:r>
      <w:r>
        <w:rPr>
          <w:rFonts w:ascii="Times New Roman" w:hAnsi="Times New Roman"/>
          <w:kern w:val="0"/>
        </w:rPr>
        <w:t>建筑地面工程施工质量验收规范</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GB 50210</w:t>
      </w:r>
      <w:r>
        <w:rPr>
          <w:rFonts w:hint="eastAsia" w:ascii="Times New Roman" w:hAnsi="Times New Roman"/>
          <w:kern w:val="0"/>
        </w:rPr>
        <w:t xml:space="preserve"> </w:t>
      </w:r>
      <w:r>
        <w:rPr>
          <w:rFonts w:ascii="Times New Roman" w:hAnsi="Times New Roman"/>
          <w:kern w:val="0"/>
        </w:rPr>
        <w:t>建筑装饰装修工程质量验收标准</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GB/T 50315</w:t>
      </w:r>
      <w:r>
        <w:rPr>
          <w:rFonts w:hint="eastAsia" w:ascii="Times New Roman" w:hAnsi="Times New Roman"/>
          <w:kern w:val="0"/>
        </w:rPr>
        <w:t xml:space="preserve"> </w:t>
      </w:r>
      <w:r>
        <w:rPr>
          <w:rFonts w:ascii="Times New Roman" w:hAnsi="Times New Roman"/>
          <w:kern w:val="0"/>
        </w:rPr>
        <w:t>砌体工程现场检测技术标准</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GB 50924</w:t>
      </w:r>
      <w:r>
        <w:rPr>
          <w:rFonts w:hint="eastAsia" w:ascii="Times New Roman" w:hAnsi="Times New Roman"/>
          <w:kern w:val="0"/>
        </w:rPr>
        <w:t xml:space="preserve"> </w:t>
      </w:r>
      <w:r>
        <w:rPr>
          <w:rFonts w:ascii="Times New Roman" w:hAnsi="Times New Roman"/>
          <w:kern w:val="0"/>
        </w:rPr>
        <w:t>砌体结构工程施工规范</w:t>
      </w:r>
    </w:p>
    <w:p>
      <w:pPr>
        <w:autoSpaceDE w:val="0"/>
        <w:autoSpaceDN w:val="0"/>
        <w:spacing w:line="240" w:lineRule="auto"/>
        <w:ind w:firstLine="424" w:firstLineChars="202"/>
        <w:rPr>
          <w:rFonts w:ascii="Times New Roman" w:hAnsi="Times New Roman"/>
          <w:kern w:val="0"/>
        </w:rPr>
      </w:pPr>
      <w:r>
        <w:rPr>
          <w:rFonts w:ascii="Times New Roman" w:hAnsi="Times New Roman"/>
        </w:rPr>
        <w:t>GB 55030</w:t>
      </w:r>
      <w:r>
        <w:rPr>
          <w:rFonts w:hint="eastAsia" w:ascii="Times New Roman" w:hAnsi="Times New Roman"/>
        </w:rPr>
        <w:t xml:space="preserve"> </w:t>
      </w:r>
      <w:r>
        <w:rPr>
          <w:rFonts w:ascii="Times New Roman" w:hAnsi="Times New Roman"/>
        </w:rPr>
        <w:t>建筑与市政工程防水通用规范</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JC/T 474</w:t>
      </w:r>
      <w:r>
        <w:rPr>
          <w:rFonts w:hint="eastAsia" w:ascii="Times New Roman" w:hAnsi="Times New Roman"/>
          <w:kern w:val="0"/>
        </w:rPr>
        <w:t xml:space="preserve"> </w:t>
      </w:r>
      <w:r>
        <w:rPr>
          <w:rFonts w:ascii="Times New Roman" w:hAnsi="Times New Roman"/>
          <w:kern w:val="0"/>
        </w:rPr>
        <w:t>砂浆、混凝土防水剂</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JC/T 2031</w:t>
      </w:r>
      <w:r>
        <w:rPr>
          <w:rFonts w:hint="eastAsia" w:ascii="Times New Roman" w:hAnsi="Times New Roman"/>
          <w:kern w:val="0"/>
        </w:rPr>
        <w:t xml:space="preserve"> </w:t>
      </w:r>
      <w:r>
        <w:rPr>
          <w:rFonts w:ascii="Times New Roman" w:hAnsi="Times New Roman"/>
          <w:kern w:val="0"/>
        </w:rPr>
        <w:t>水泥砂浆防冻剂</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JC/T 2589</w:t>
      </w:r>
      <w:r>
        <w:rPr>
          <w:rFonts w:hint="eastAsia" w:ascii="Times New Roman" w:hAnsi="Times New Roman"/>
          <w:kern w:val="0"/>
        </w:rPr>
        <w:t xml:space="preserve"> </w:t>
      </w:r>
      <w:r>
        <w:rPr>
          <w:rFonts w:ascii="Times New Roman" w:hAnsi="Times New Roman"/>
          <w:kern w:val="0"/>
        </w:rPr>
        <w:t>机喷砂浆喷涂剂</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JC/T 2590</w:t>
      </w:r>
      <w:r>
        <w:rPr>
          <w:rFonts w:hint="eastAsia" w:ascii="Times New Roman" w:hAnsi="Times New Roman"/>
          <w:kern w:val="0"/>
        </w:rPr>
        <w:t xml:space="preserve"> </w:t>
      </w:r>
      <w:r>
        <w:rPr>
          <w:rFonts w:ascii="Times New Roman" w:hAnsi="Times New Roman"/>
          <w:kern w:val="0"/>
        </w:rPr>
        <w:t>湿拌砂浆稳塑剂</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JG/T 164</w:t>
      </w:r>
      <w:r>
        <w:rPr>
          <w:rFonts w:hint="eastAsia" w:ascii="Times New Roman" w:hAnsi="Times New Roman"/>
          <w:kern w:val="0"/>
        </w:rPr>
        <w:t xml:space="preserve"> </w:t>
      </w:r>
      <w:r>
        <w:rPr>
          <w:rFonts w:ascii="Times New Roman" w:hAnsi="Times New Roman"/>
          <w:kern w:val="0"/>
        </w:rPr>
        <w:t>砌筑砂浆增塑剂</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JG/T 426</w:t>
      </w:r>
      <w:r>
        <w:rPr>
          <w:rFonts w:hint="eastAsia" w:ascii="Times New Roman" w:hAnsi="Times New Roman"/>
          <w:kern w:val="0"/>
        </w:rPr>
        <w:t xml:space="preserve"> </w:t>
      </w:r>
      <w:r>
        <w:rPr>
          <w:rFonts w:ascii="Times New Roman" w:hAnsi="Times New Roman"/>
          <w:kern w:val="0"/>
        </w:rPr>
        <w:t>抹灰砂浆增塑剂</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JG/T 486</w:t>
      </w:r>
      <w:r>
        <w:rPr>
          <w:rFonts w:hint="eastAsia" w:ascii="Times New Roman" w:hAnsi="Times New Roman"/>
          <w:kern w:val="0"/>
        </w:rPr>
        <w:t xml:space="preserve"> </w:t>
      </w:r>
      <w:r>
        <w:rPr>
          <w:rFonts w:ascii="Times New Roman" w:hAnsi="Times New Roman"/>
          <w:kern w:val="0"/>
        </w:rPr>
        <w:t>混凝土用复合掺合料</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JG/T 566</w:t>
      </w:r>
      <w:r>
        <w:rPr>
          <w:rFonts w:hint="eastAsia" w:ascii="Times New Roman" w:hAnsi="Times New Roman"/>
          <w:kern w:val="0"/>
        </w:rPr>
        <w:t xml:space="preserve"> </w:t>
      </w:r>
      <w:r>
        <w:rPr>
          <w:rFonts w:ascii="Times New Roman" w:hAnsi="Times New Roman"/>
          <w:kern w:val="0"/>
        </w:rPr>
        <w:t>混凝土和砂浆用天然沸石粉</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JG/T 573</w:t>
      </w:r>
      <w:r>
        <w:rPr>
          <w:rFonts w:hint="eastAsia" w:ascii="Times New Roman" w:hAnsi="Times New Roman"/>
          <w:kern w:val="0"/>
        </w:rPr>
        <w:t xml:space="preserve"> </w:t>
      </w:r>
      <w:r>
        <w:rPr>
          <w:rFonts w:ascii="Times New Roman" w:hAnsi="Times New Roman"/>
          <w:kern w:val="0"/>
        </w:rPr>
        <w:t>混凝土和砂浆用再生微粉</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JGJ 63</w:t>
      </w:r>
      <w:r>
        <w:rPr>
          <w:rFonts w:hint="eastAsia" w:ascii="Times New Roman" w:hAnsi="Times New Roman"/>
          <w:kern w:val="0"/>
        </w:rPr>
        <w:t xml:space="preserve"> </w:t>
      </w:r>
      <w:r>
        <w:rPr>
          <w:rFonts w:ascii="Times New Roman" w:hAnsi="Times New Roman"/>
          <w:kern w:val="0"/>
        </w:rPr>
        <w:t>混凝土用水标准</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JGJ/T 70</w:t>
      </w:r>
      <w:r>
        <w:rPr>
          <w:rFonts w:hint="eastAsia" w:ascii="Times New Roman" w:hAnsi="Times New Roman"/>
          <w:kern w:val="0"/>
        </w:rPr>
        <w:t xml:space="preserve"> </w:t>
      </w:r>
      <w:r>
        <w:rPr>
          <w:rFonts w:ascii="Times New Roman" w:hAnsi="Times New Roman"/>
          <w:kern w:val="0"/>
        </w:rPr>
        <w:t>建筑砂浆基本性能试验方法标准</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JGJ/T 98</w:t>
      </w:r>
      <w:r>
        <w:rPr>
          <w:rFonts w:hint="eastAsia" w:ascii="Times New Roman" w:hAnsi="Times New Roman"/>
          <w:kern w:val="0"/>
        </w:rPr>
        <w:t xml:space="preserve"> </w:t>
      </w:r>
      <w:r>
        <w:rPr>
          <w:rFonts w:ascii="Times New Roman" w:hAnsi="Times New Roman"/>
          <w:kern w:val="0"/>
        </w:rPr>
        <w:t>砌筑砂浆配合比设计规程</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JGJ/T 105</w:t>
      </w:r>
      <w:r>
        <w:rPr>
          <w:rFonts w:hint="eastAsia" w:ascii="Times New Roman" w:hAnsi="Times New Roman"/>
          <w:kern w:val="0"/>
        </w:rPr>
        <w:t xml:space="preserve"> </w:t>
      </w:r>
      <w:r>
        <w:rPr>
          <w:rFonts w:ascii="Times New Roman" w:hAnsi="Times New Roman"/>
          <w:kern w:val="0"/>
        </w:rPr>
        <w:t>机械喷涂抹灰施工规程</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JGJ/T 110</w:t>
      </w:r>
      <w:r>
        <w:rPr>
          <w:rFonts w:hint="eastAsia" w:ascii="Times New Roman" w:hAnsi="Times New Roman"/>
          <w:kern w:val="0"/>
        </w:rPr>
        <w:t xml:space="preserve"> </w:t>
      </w:r>
      <w:r>
        <w:rPr>
          <w:rFonts w:ascii="Times New Roman" w:hAnsi="Times New Roman"/>
          <w:kern w:val="0"/>
        </w:rPr>
        <w:t>建筑工程饰面砖粘结强度检验标准</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JGJ 126</w:t>
      </w:r>
      <w:r>
        <w:rPr>
          <w:rFonts w:hint="eastAsia" w:ascii="Times New Roman" w:hAnsi="Times New Roman"/>
          <w:kern w:val="0"/>
        </w:rPr>
        <w:t xml:space="preserve"> </w:t>
      </w:r>
      <w:r>
        <w:rPr>
          <w:rFonts w:ascii="Times New Roman" w:hAnsi="Times New Roman"/>
          <w:kern w:val="0"/>
        </w:rPr>
        <w:t>外墙饰面砖工程施工及验收规程</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JGJ/T 136</w:t>
      </w:r>
      <w:r>
        <w:rPr>
          <w:rFonts w:hint="eastAsia" w:ascii="Times New Roman" w:hAnsi="Times New Roman"/>
          <w:kern w:val="0"/>
        </w:rPr>
        <w:t xml:space="preserve"> </w:t>
      </w:r>
      <w:r>
        <w:rPr>
          <w:rFonts w:ascii="Times New Roman" w:hAnsi="Times New Roman"/>
          <w:kern w:val="0"/>
        </w:rPr>
        <w:t>贯入法检测砌筑砂浆抗压强度技术规程</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JGJ/T 220</w:t>
      </w:r>
      <w:r>
        <w:rPr>
          <w:rFonts w:hint="eastAsia" w:ascii="Times New Roman" w:hAnsi="Times New Roman"/>
          <w:kern w:val="0"/>
        </w:rPr>
        <w:t xml:space="preserve"> </w:t>
      </w:r>
      <w:r>
        <w:rPr>
          <w:rFonts w:ascii="Times New Roman" w:hAnsi="Times New Roman"/>
          <w:kern w:val="0"/>
        </w:rPr>
        <w:t>抹灰砂浆技术规程</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JGJ/T 223</w:t>
      </w:r>
      <w:r>
        <w:rPr>
          <w:rFonts w:hint="eastAsia" w:ascii="Times New Roman" w:hAnsi="Times New Roman"/>
          <w:kern w:val="0"/>
        </w:rPr>
        <w:t xml:space="preserve"> </w:t>
      </w:r>
      <w:r>
        <w:rPr>
          <w:rFonts w:ascii="Times New Roman" w:hAnsi="Times New Roman"/>
          <w:kern w:val="0"/>
        </w:rPr>
        <w:t>预拌砂浆应用技术规程</w:t>
      </w:r>
    </w:p>
    <w:p>
      <w:pPr>
        <w:autoSpaceDE w:val="0"/>
        <w:autoSpaceDN w:val="0"/>
        <w:spacing w:line="240" w:lineRule="auto"/>
        <w:ind w:firstLine="424" w:firstLineChars="202"/>
        <w:rPr>
          <w:rFonts w:ascii="Times New Roman" w:hAnsi="Times New Roman"/>
          <w:kern w:val="0"/>
        </w:rPr>
      </w:pPr>
      <w:r>
        <w:rPr>
          <w:rFonts w:ascii="Times New Roman" w:hAnsi="Times New Roman"/>
          <w:kern w:val="0"/>
        </w:rPr>
        <w:t>SB/T 10546</w:t>
      </w:r>
      <w:r>
        <w:rPr>
          <w:rFonts w:hint="eastAsia" w:ascii="Times New Roman" w:hAnsi="Times New Roman"/>
          <w:kern w:val="0"/>
        </w:rPr>
        <w:t xml:space="preserve"> </w:t>
      </w:r>
      <w:r>
        <w:rPr>
          <w:rFonts w:ascii="Times New Roman" w:hAnsi="Times New Roman"/>
          <w:kern w:val="0"/>
        </w:rPr>
        <w:t>散装干混砂浆运输车</w:t>
      </w:r>
    </w:p>
    <w:p>
      <w:pPr>
        <w:autoSpaceDE w:val="0"/>
        <w:autoSpaceDN w:val="0"/>
        <w:spacing w:line="240" w:lineRule="auto"/>
        <w:ind w:firstLine="424" w:firstLineChars="202"/>
        <w:rPr>
          <w:rFonts w:ascii="Times New Roman" w:hAnsi="Times New Roman"/>
          <w:kern w:val="0"/>
        </w:rPr>
      </w:pPr>
      <w:r>
        <w:rPr>
          <w:rFonts w:ascii="Times New Roman" w:hAnsi="Times New Roman"/>
        </w:rPr>
        <w:t>DB32/T 3704</w:t>
      </w:r>
      <w:r>
        <w:rPr>
          <w:rFonts w:hint="eastAsia" w:ascii="Times New Roman" w:hAnsi="Times New Roman"/>
        </w:rPr>
        <w:t xml:space="preserve"> </w:t>
      </w:r>
      <w:r>
        <w:rPr>
          <w:rFonts w:ascii="Times New Roman" w:hAnsi="Times New Roman"/>
        </w:rPr>
        <w:t>预拌砂浆绿色生产管理技术规程</w:t>
      </w:r>
    </w:p>
    <w:p>
      <w:pPr>
        <w:pStyle w:val="105"/>
        <w:spacing w:before="312" w:after="312"/>
      </w:pPr>
      <w:r>
        <w:rPr>
          <w:rFonts w:hint="eastAsia"/>
          <w:szCs w:val="21"/>
        </w:rPr>
        <w:t>术语和定义</w:t>
      </w:r>
    </w:p>
    <w:sdt>
      <w:sdtPr>
        <w:id w:val="-1909835108"/>
        <w:placeholder>
          <w:docPart w:val="08B9AE389C7948AAA37C86BAA9EA234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41" w:name="_Toc26986532"/>
          <w:bookmarkEnd w:id="41"/>
          <w:r>
            <w:t>下列术语和定义适用于本文件。</w:t>
          </w:r>
        </w:p>
      </w:sdtContent>
    </w:sdt>
    <w:p>
      <w:pPr>
        <w:pStyle w:val="57"/>
        <w:ind w:firstLine="0" w:firstLineChars="0"/>
        <w:rPr>
          <w:rFonts w:hint="eastAsia" w:ascii="黑体" w:hAnsi="黑体" w:eastAsia="黑体"/>
        </w:rPr>
      </w:pPr>
      <w:r>
        <w:rPr>
          <w:rFonts w:hint="eastAsia" w:ascii="黑体" w:hAnsi="黑体" w:eastAsia="黑体"/>
        </w:rPr>
        <w:t xml:space="preserve">3.1 </w:t>
      </w:r>
    </w:p>
    <w:p>
      <w:pPr>
        <w:pStyle w:val="57"/>
        <w:ind w:firstLine="420"/>
        <w:rPr>
          <w:rFonts w:ascii="Times New Roman" w:eastAsia="黑体"/>
          <w:szCs w:val="21"/>
        </w:rPr>
      </w:pPr>
      <w:r>
        <w:rPr>
          <w:rFonts w:ascii="Times New Roman" w:eastAsia="黑体"/>
          <w:szCs w:val="21"/>
        </w:rPr>
        <w:t>预拌砂浆 ready-mixed mortar</w:t>
      </w:r>
    </w:p>
    <w:p>
      <w:pPr>
        <w:pStyle w:val="57"/>
        <w:ind w:firstLine="420"/>
      </w:pPr>
      <w:r>
        <w:rPr>
          <w:szCs w:val="21"/>
        </w:rPr>
        <w:t>专业生产厂生产的干混砂浆或湿拌砂浆。</w:t>
      </w:r>
    </w:p>
    <w:p>
      <w:pPr>
        <w:pStyle w:val="57"/>
        <w:ind w:firstLine="0" w:firstLineChars="0"/>
        <w:rPr>
          <w:rFonts w:hint="eastAsia" w:ascii="黑体" w:hAnsi="黑体" w:eastAsia="黑体"/>
        </w:rPr>
      </w:pPr>
      <w:r>
        <w:rPr>
          <w:rFonts w:hint="eastAsia" w:ascii="黑体" w:hAnsi="黑体" w:eastAsia="黑体"/>
        </w:rPr>
        <w:t xml:space="preserve">3.2 </w:t>
      </w:r>
    </w:p>
    <w:p>
      <w:pPr>
        <w:pStyle w:val="57"/>
        <w:ind w:firstLine="420"/>
        <w:rPr>
          <w:rFonts w:ascii="Times New Roman" w:eastAsia="黑体"/>
          <w:szCs w:val="21"/>
        </w:rPr>
      </w:pPr>
      <w:r>
        <w:rPr>
          <w:rFonts w:ascii="Times New Roman" w:eastAsia="黑体"/>
          <w:szCs w:val="21"/>
        </w:rPr>
        <w:t xml:space="preserve">干混砂浆 </w:t>
      </w:r>
      <w:r>
        <w:rPr>
          <w:rFonts w:ascii="Times New Roman"/>
          <w:szCs w:val="21"/>
        </w:rPr>
        <w:t>dry-mixed mortar</w:t>
      </w:r>
    </w:p>
    <w:p>
      <w:pPr>
        <w:spacing w:line="240" w:lineRule="auto"/>
        <w:ind w:firstLine="424" w:firstLineChars="202"/>
      </w:pPr>
      <w:r>
        <w:rPr>
          <w:rFonts w:hint="eastAsia"/>
        </w:rPr>
        <w:t>水泥、</w:t>
      </w:r>
      <w:r>
        <w:t>干燥细骨料、</w:t>
      </w:r>
      <w:r>
        <w:rPr>
          <w:rFonts w:hint="eastAsia"/>
        </w:rPr>
        <w:t>矿物掺合料和（或）填料</w:t>
      </w:r>
      <w:r>
        <w:t>、</w:t>
      </w:r>
      <w:r>
        <w:rPr>
          <w:rFonts w:hint="eastAsia"/>
        </w:rPr>
        <w:t>外加</w:t>
      </w:r>
      <w:r>
        <w:t>剂以及根据性能确定的其他组份，按一定比例，在专业生产厂经计量、混合而成的干态混合物，在使用地点按规定比例加水或配套组份拌合使用。</w:t>
      </w:r>
    </w:p>
    <w:p>
      <w:pPr>
        <w:pStyle w:val="57"/>
        <w:ind w:firstLine="0" w:firstLineChars="0"/>
        <w:rPr>
          <w:rFonts w:hint="eastAsia" w:ascii="黑体" w:hAnsi="黑体" w:eastAsia="黑体"/>
        </w:rPr>
      </w:pPr>
      <w:r>
        <w:rPr>
          <w:rFonts w:hint="eastAsia" w:ascii="黑体" w:hAnsi="黑体" w:eastAsia="黑体"/>
        </w:rPr>
        <w:t xml:space="preserve">3.3 </w:t>
      </w:r>
    </w:p>
    <w:p>
      <w:pPr>
        <w:pStyle w:val="57"/>
        <w:ind w:firstLine="420"/>
        <w:rPr>
          <w:rFonts w:ascii="Times New Roman" w:eastAsia="黑体"/>
          <w:szCs w:val="21"/>
        </w:rPr>
      </w:pPr>
      <w:r>
        <w:rPr>
          <w:rFonts w:hint="eastAsia" w:ascii="Times New Roman" w:eastAsia="黑体"/>
          <w:szCs w:val="21"/>
        </w:rPr>
        <w:t>湿拌</w:t>
      </w:r>
      <w:r>
        <w:rPr>
          <w:rFonts w:ascii="Times New Roman" w:eastAsia="黑体"/>
          <w:szCs w:val="21"/>
        </w:rPr>
        <w:t xml:space="preserve">砂浆 </w:t>
      </w:r>
      <w:r>
        <w:rPr>
          <w:rFonts w:hint="eastAsia" w:ascii="Times New Roman" w:eastAsia="黑体"/>
          <w:szCs w:val="21"/>
        </w:rPr>
        <w:t>wet</w:t>
      </w:r>
      <w:r>
        <w:rPr>
          <w:rFonts w:ascii="Times New Roman" w:eastAsia="黑体"/>
          <w:szCs w:val="21"/>
        </w:rPr>
        <w:t>-mixed mortar</w:t>
      </w:r>
    </w:p>
    <w:p>
      <w:pPr>
        <w:spacing w:line="240" w:lineRule="auto"/>
        <w:ind w:firstLine="426"/>
      </w:pPr>
      <w:r>
        <w:rPr>
          <w:rFonts w:hint="eastAsia"/>
        </w:rPr>
        <w:t>水泥</w:t>
      </w:r>
      <w:r>
        <w:t>、细骨料、</w:t>
      </w:r>
      <w:r>
        <w:rPr>
          <w:rFonts w:hint="eastAsia"/>
        </w:rPr>
        <w:t>矿物掺合料和（或）填料、</w:t>
      </w:r>
      <w:r>
        <w:t>外加剂</w:t>
      </w:r>
      <w:r>
        <w:rPr>
          <w:rFonts w:hint="eastAsia"/>
        </w:rPr>
        <w:t>、水</w:t>
      </w:r>
      <w:r>
        <w:t>以及根据性能确定的其他组份</w:t>
      </w:r>
      <w:r>
        <w:rPr>
          <w:rFonts w:hint="eastAsia"/>
        </w:rPr>
        <w:t>，</w:t>
      </w:r>
      <w:r>
        <w:t>按一定比例，在专业生产厂经计量、搅拌后，运至使用地点，并在规定时间内使用的拌合物。</w:t>
      </w:r>
    </w:p>
    <w:p>
      <w:pPr>
        <w:pStyle w:val="57"/>
        <w:ind w:firstLine="0" w:firstLineChars="0"/>
        <w:rPr>
          <w:rFonts w:hint="eastAsia" w:ascii="黑体" w:hAnsi="黑体" w:eastAsia="黑体"/>
        </w:rPr>
      </w:pPr>
      <w:r>
        <w:rPr>
          <w:rFonts w:hint="eastAsia" w:ascii="黑体" w:hAnsi="黑体" w:eastAsia="黑体"/>
        </w:rPr>
        <w:t xml:space="preserve">3.4 </w:t>
      </w:r>
    </w:p>
    <w:p>
      <w:pPr>
        <w:pStyle w:val="57"/>
        <w:ind w:firstLine="420"/>
        <w:rPr>
          <w:rFonts w:ascii="Times New Roman" w:eastAsia="黑体"/>
          <w:szCs w:val="21"/>
        </w:rPr>
      </w:pPr>
      <w:r>
        <w:rPr>
          <w:rFonts w:hint="eastAsia" w:ascii="Times New Roman" w:eastAsia="黑体"/>
          <w:szCs w:val="21"/>
        </w:rPr>
        <w:t>砌筑</w:t>
      </w:r>
      <w:r>
        <w:rPr>
          <w:rFonts w:ascii="Times New Roman" w:eastAsia="黑体"/>
          <w:szCs w:val="21"/>
        </w:rPr>
        <w:t xml:space="preserve">砂浆 </w:t>
      </w:r>
      <w:r>
        <w:rPr>
          <w:rFonts w:hint="eastAsia" w:ascii="Times New Roman" w:eastAsia="黑体"/>
          <w:szCs w:val="21"/>
        </w:rPr>
        <w:t xml:space="preserve">masonry </w:t>
      </w:r>
      <w:r>
        <w:rPr>
          <w:rFonts w:ascii="Times New Roman" w:eastAsia="黑体"/>
          <w:szCs w:val="21"/>
        </w:rPr>
        <w:t>mortar</w:t>
      </w:r>
    </w:p>
    <w:p>
      <w:pPr>
        <w:spacing w:line="240" w:lineRule="auto"/>
        <w:ind w:firstLine="426"/>
      </w:pPr>
      <w:r>
        <w:rPr>
          <w:rFonts w:hint="eastAsia"/>
        </w:rPr>
        <w:t>将砖、石、砌块等块材砌筑成为砌体的预拌砂浆</w:t>
      </w:r>
      <w:r>
        <w:t>。</w:t>
      </w:r>
    </w:p>
    <w:p>
      <w:pPr>
        <w:pStyle w:val="57"/>
        <w:ind w:firstLine="0" w:firstLineChars="0"/>
        <w:rPr>
          <w:rFonts w:hint="eastAsia" w:ascii="黑体" w:hAnsi="黑体" w:eastAsia="黑体"/>
        </w:rPr>
      </w:pPr>
      <w:r>
        <w:rPr>
          <w:rFonts w:hint="eastAsia" w:ascii="黑体" w:hAnsi="黑体" w:eastAsia="黑体"/>
        </w:rPr>
        <w:t xml:space="preserve">3.5 </w:t>
      </w:r>
    </w:p>
    <w:p>
      <w:pPr>
        <w:pStyle w:val="57"/>
        <w:ind w:firstLine="420"/>
        <w:rPr>
          <w:rFonts w:ascii="Times New Roman" w:eastAsia="黑体"/>
          <w:szCs w:val="21"/>
        </w:rPr>
      </w:pPr>
      <w:r>
        <w:rPr>
          <w:rFonts w:hint="eastAsia" w:ascii="Times New Roman" w:eastAsia="黑体"/>
          <w:szCs w:val="21"/>
        </w:rPr>
        <w:t>普通砌筑</w:t>
      </w:r>
      <w:r>
        <w:rPr>
          <w:rFonts w:ascii="Times New Roman" w:eastAsia="黑体"/>
          <w:szCs w:val="21"/>
        </w:rPr>
        <w:t xml:space="preserve">砂浆 </w:t>
      </w:r>
      <w:r>
        <w:rPr>
          <w:rFonts w:hint="eastAsia" w:ascii="Times New Roman" w:eastAsia="黑体"/>
          <w:szCs w:val="21"/>
        </w:rPr>
        <w:t xml:space="preserve">general purpose masonry </w:t>
      </w:r>
      <w:r>
        <w:rPr>
          <w:rFonts w:ascii="Times New Roman" w:eastAsia="黑体"/>
          <w:szCs w:val="21"/>
        </w:rPr>
        <w:t>mortar</w:t>
      </w:r>
    </w:p>
    <w:p>
      <w:pPr>
        <w:spacing w:line="240" w:lineRule="auto"/>
        <w:ind w:firstLine="426"/>
        <w:rPr>
          <w:rFonts w:ascii="Times New Roman" w:hAnsi="Times New Roman"/>
        </w:rPr>
      </w:pPr>
      <w:r>
        <w:rPr>
          <w:rFonts w:ascii="Times New Roman" w:hAnsi="Times New Roman"/>
        </w:rPr>
        <w:t>用于普通砌筑工程灰缝厚度大于5mm的砌筑砂浆。</w:t>
      </w:r>
    </w:p>
    <w:p>
      <w:pPr>
        <w:pStyle w:val="57"/>
        <w:ind w:firstLine="0" w:firstLineChars="0"/>
        <w:rPr>
          <w:rFonts w:hint="eastAsia" w:ascii="黑体" w:hAnsi="黑体" w:eastAsia="黑体"/>
        </w:rPr>
      </w:pPr>
      <w:r>
        <w:rPr>
          <w:rFonts w:hint="eastAsia" w:ascii="黑体" w:hAnsi="黑体" w:eastAsia="黑体"/>
        </w:rPr>
        <w:t xml:space="preserve">3.6 </w:t>
      </w:r>
    </w:p>
    <w:p>
      <w:pPr>
        <w:pStyle w:val="57"/>
        <w:ind w:firstLine="420"/>
        <w:rPr>
          <w:rFonts w:ascii="Times New Roman" w:eastAsia="黑体"/>
          <w:szCs w:val="21"/>
        </w:rPr>
      </w:pPr>
      <w:r>
        <w:rPr>
          <w:rFonts w:hint="eastAsia" w:ascii="Times New Roman" w:eastAsia="黑体"/>
          <w:szCs w:val="21"/>
        </w:rPr>
        <w:t>薄层砌筑</w:t>
      </w:r>
      <w:r>
        <w:rPr>
          <w:rFonts w:ascii="Times New Roman" w:eastAsia="黑体"/>
          <w:szCs w:val="21"/>
        </w:rPr>
        <w:t xml:space="preserve">砂浆 </w:t>
      </w:r>
      <w:r>
        <w:rPr>
          <w:rFonts w:hint="eastAsia" w:ascii="Times New Roman" w:eastAsia="黑体"/>
          <w:szCs w:val="21"/>
        </w:rPr>
        <w:t xml:space="preserve">thin-layer masonry </w:t>
      </w:r>
      <w:r>
        <w:rPr>
          <w:rFonts w:ascii="Times New Roman" w:eastAsia="黑体"/>
          <w:szCs w:val="21"/>
        </w:rPr>
        <w:t>mortar</w:t>
      </w:r>
    </w:p>
    <w:p>
      <w:pPr>
        <w:spacing w:line="240" w:lineRule="auto"/>
        <w:ind w:firstLine="426"/>
        <w:rPr>
          <w:rFonts w:ascii="Times New Roman" w:hAnsi="Times New Roman"/>
        </w:rPr>
      </w:pPr>
      <w:r>
        <w:rPr>
          <w:rFonts w:ascii="Times New Roman" w:hAnsi="Times New Roman"/>
        </w:rPr>
        <w:t>用于普通砌筑工程灰缝厚度不大于5mm的砌筑砂浆。</w:t>
      </w:r>
    </w:p>
    <w:p>
      <w:pPr>
        <w:pStyle w:val="57"/>
        <w:ind w:firstLine="0" w:firstLineChars="0"/>
        <w:rPr>
          <w:rFonts w:hint="eastAsia" w:ascii="黑体" w:hAnsi="黑体" w:eastAsia="黑体"/>
        </w:rPr>
      </w:pPr>
      <w:r>
        <w:rPr>
          <w:rFonts w:hint="eastAsia" w:ascii="黑体" w:hAnsi="黑体" w:eastAsia="黑体"/>
        </w:rPr>
        <w:t xml:space="preserve">3.7 </w:t>
      </w:r>
    </w:p>
    <w:p>
      <w:pPr>
        <w:pStyle w:val="57"/>
        <w:ind w:firstLine="420"/>
        <w:rPr>
          <w:rFonts w:ascii="Times New Roman" w:eastAsia="黑体"/>
          <w:szCs w:val="21"/>
        </w:rPr>
      </w:pPr>
      <w:r>
        <w:rPr>
          <w:rFonts w:hint="eastAsia" w:ascii="Times New Roman" w:eastAsia="黑体"/>
          <w:szCs w:val="21"/>
        </w:rPr>
        <w:t>抹灰</w:t>
      </w:r>
      <w:r>
        <w:rPr>
          <w:rFonts w:ascii="Times New Roman" w:eastAsia="黑体"/>
          <w:szCs w:val="21"/>
        </w:rPr>
        <w:t xml:space="preserve">砂浆 </w:t>
      </w:r>
      <w:r>
        <w:rPr>
          <w:rFonts w:hint="eastAsia" w:ascii="Times New Roman" w:eastAsia="黑体"/>
          <w:szCs w:val="21"/>
        </w:rPr>
        <w:t xml:space="preserve">plastering </w:t>
      </w:r>
      <w:r>
        <w:rPr>
          <w:rFonts w:ascii="Times New Roman" w:eastAsia="黑体"/>
          <w:szCs w:val="21"/>
        </w:rPr>
        <w:t>mortar</w:t>
      </w:r>
    </w:p>
    <w:p>
      <w:pPr>
        <w:spacing w:line="240" w:lineRule="auto"/>
        <w:ind w:firstLine="426"/>
      </w:pPr>
      <w:r>
        <w:rPr>
          <w:rFonts w:hint="eastAsia"/>
        </w:rPr>
        <w:t>涂抹在建（构）筑物表面的预拌砂浆</w:t>
      </w:r>
      <w:r>
        <w:t>。</w:t>
      </w:r>
    </w:p>
    <w:p>
      <w:pPr>
        <w:pStyle w:val="57"/>
        <w:ind w:firstLine="0" w:firstLineChars="0"/>
        <w:rPr>
          <w:rFonts w:hint="eastAsia" w:ascii="黑体" w:hAnsi="黑体" w:eastAsia="黑体"/>
        </w:rPr>
      </w:pPr>
      <w:r>
        <w:rPr>
          <w:rFonts w:hint="eastAsia" w:ascii="黑体" w:hAnsi="黑体" w:eastAsia="黑体"/>
        </w:rPr>
        <w:t xml:space="preserve">3.8 </w:t>
      </w:r>
    </w:p>
    <w:p>
      <w:pPr>
        <w:pStyle w:val="57"/>
        <w:ind w:firstLine="420"/>
        <w:rPr>
          <w:rFonts w:ascii="Times New Roman" w:eastAsia="黑体"/>
          <w:szCs w:val="21"/>
        </w:rPr>
      </w:pPr>
      <w:r>
        <w:rPr>
          <w:rFonts w:hint="eastAsia" w:ascii="Times New Roman" w:eastAsia="黑体"/>
          <w:szCs w:val="21"/>
        </w:rPr>
        <w:t>普通抹灰</w:t>
      </w:r>
      <w:r>
        <w:rPr>
          <w:rFonts w:ascii="Times New Roman" w:eastAsia="黑体"/>
          <w:szCs w:val="21"/>
        </w:rPr>
        <w:t xml:space="preserve">砂浆 </w:t>
      </w:r>
      <w:r>
        <w:rPr>
          <w:rFonts w:hint="eastAsia" w:ascii="Times New Roman" w:eastAsia="黑体"/>
          <w:szCs w:val="21"/>
        </w:rPr>
        <w:t xml:space="preserve">general purpose plastering </w:t>
      </w:r>
      <w:r>
        <w:rPr>
          <w:rFonts w:ascii="Times New Roman" w:eastAsia="黑体"/>
          <w:szCs w:val="21"/>
        </w:rPr>
        <w:t>mortar</w:t>
      </w:r>
    </w:p>
    <w:p>
      <w:pPr>
        <w:spacing w:line="240" w:lineRule="auto"/>
        <w:ind w:firstLine="426"/>
        <w:rPr>
          <w:rFonts w:ascii="Times New Roman" w:hAnsi="Times New Roman"/>
        </w:rPr>
      </w:pPr>
      <w:r>
        <w:rPr>
          <w:rFonts w:ascii="Times New Roman" w:hAnsi="Times New Roman"/>
        </w:rPr>
        <w:t>砂浆层厚度大于5mm的抹灰砂浆。</w:t>
      </w:r>
    </w:p>
    <w:p>
      <w:pPr>
        <w:pStyle w:val="57"/>
        <w:ind w:firstLine="0" w:firstLineChars="0"/>
        <w:rPr>
          <w:rFonts w:hint="eastAsia" w:ascii="黑体" w:hAnsi="黑体" w:eastAsia="黑体"/>
        </w:rPr>
      </w:pPr>
      <w:r>
        <w:rPr>
          <w:rFonts w:hint="eastAsia" w:ascii="黑体" w:hAnsi="黑体" w:eastAsia="黑体"/>
        </w:rPr>
        <w:t xml:space="preserve">3.9 </w:t>
      </w:r>
    </w:p>
    <w:p>
      <w:pPr>
        <w:pStyle w:val="57"/>
        <w:ind w:firstLine="420"/>
        <w:rPr>
          <w:rFonts w:ascii="Times New Roman" w:eastAsia="黑体"/>
          <w:szCs w:val="21"/>
        </w:rPr>
      </w:pPr>
      <w:r>
        <w:rPr>
          <w:rFonts w:hint="eastAsia" w:ascii="Times New Roman" w:eastAsia="黑体"/>
          <w:szCs w:val="21"/>
        </w:rPr>
        <w:t>薄层抹灰</w:t>
      </w:r>
      <w:r>
        <w:rPr>
          <w:rFonts w:ascii="Times New Roman" w:eastAsia="黑体"/>
          <w:szCs w:val="21"/>
        </w:rPr>
        <w:t xml:space="preserve">砂浆 </w:t>
      </w:r>
      <w:r>
        <w:rPr>
          <w:rFonts w:hint="eastAsia" w:ascii="Times New Roman" w:eastAsia="黑体"/>
          <w:szCs w:val="21"/>
        </w:rPr>
        <w:t xml:space="preserve">thin-layer plastering </w:t>
      </w:r>
      <w:r>
        <w:rPr>
          <w:rFonts w:ascii="Times New Roman" w:eastAsia="黑体"/>
          <w:szCs w:val="21"/>
        </w:rPr>
        <w:t>mortar</w:t>
      </w:r>
    </w:p>
    <w:p>
      <w:pPr>
        <w:spacing w:line="240" w:lineRule="auto"/>
        <w:ind w:firstLine="426"/>
        <w:rPr>
          <w:rFonts w:ascii="Times New Roman" w:hAnsi="Times New Roman"/>
        </w:rPr>
      </w:pPr>
      <w:r>
        <w:rPr>
          <w:rFonts w:ascii="Times New Roman" w:hAnsi="Times New Roman"/>
        </w:rPr>
        <w:t>砂浆层厚度不大于5mm的抹灰砂浆。</w:t>
      </w:r>
    </w:p>
    <w:p>
      <w:pPr>
        <w:pStyle w:val="57"/>
        <w:ind w:firstLine="0" w:firstLineChars="0"/>
        <w:rPr>
          <w:rFonts w:hint="eastAsia" w:ascii="黑体" w:hAnsi="黑体" w:eastAsia="黑体"/>
        </w:rPr>
      </w:pPr>
      <w:r>
        <w:rPr>
          <w:rFonts w:hint="eastAsia" w:ascii="黑体" w:hAnsi="黑体" w:eastAsia="黑体"/>
        </w:rPr>
        <w:t xml:space="preserve">3.10 </w:t>
      </w:r>
    </w:p>
    <w:p>
      <w:pPr>
        <w:pStyle w:val="57"/>
        <w:ind w:firstLine="420"/>
        <w:rPr>
          <w:rFonts w:ascii="Times New Roman" w:eastAsia="黑体"/>
          <w:szCs w:val="21"/>
        </w:rPr>
      </w:pPr>
      <w:r>
        <w:rPr>
          <w:rFonts w:hint="eastAsia" w:ascii="Times New Roman" w:eastAsia="黑体"/>
          <w:szCs w:val="21"/>
        </w:rPr>
        <w:t>机喷抹灰</w:t>
      </w:r>
      <w:r>
        <w:rPr>
          <w:rFonts w:ascii="Times New Roman" w:eastAsia="黑体"/>
          <w:szCs w:val="21"/>
        </w:rPr>
        <w:t xml:space="preserve">砂浆 </w:t>
      </w:r>
      <w:r>
        <w:rPr>
          <w:rFonts w:hint="eastAsia" w:ascii="Times New Roman" w:eastAsia="黑体"/>
          <w:szCs w:val="21"/>
        </w:rPr>
        <w:t xml:space="preserve">spraying plastering </w:t>
      </w:r>
      <w:r>
        <w:rPr>
          <w:rFonts w:ascii="Times New Roman" w:eastAsia="黑体"/>
          <w:szCs w:val="21"/>
        </w:rPr>
        <w:t>mortar</w:t>
      </w:r>
    </w:p>
    <w:p>
      <w:pPr>
        <w:spacing w:line="240" w:lineRule="auto"/>
        <w:ind w:firstLine="426"/>
      </w:pPr>
      <w:r>
        <w:rPr>
          <w:rFonts w:hint="eastAsia"/>
        </w:rPr>
        <w:t>采用机械泵送喷涂工艺进行施工的抹灰砂浆</w:t>
      </w:r>
      <w:r>
        <w:t>。</w:t>
      </w:r>
    </w:p>
    <w:p>
      <w:pPr>
        <w:pStyle w:val="57"/>
        <w:ind w:firstLine="0" w:firstLineChars="0"/>
        <w:rPr>
          <w:rFonts w:hint="eastAsia" w:ascii="黑体" w:hAnsi="黑体" w:eastAsia="黑体"/>
        </w:rPr>
      </w:pPr>
      <w:r>
        <w:rPr>
          <w:rFonts w:hint="eastAsia" w:ascii="黑体" w:hAnsi="黑体" w:eastAsia="黑体"/>
        </w:rPr>
        <w:t xml:space="preserve">3.11 </w:t>
      </w:r>
    </w:p>
    <w:p>
      <w:pPr>
        <w:pStyle w:val="57"/>
        <w:ind w:firstLine="420"/>
        <w:rPr>
          <w:rFonts w:ascii="Times New Roman" w:eastAsia="黑体"/>
          <w:szCs w:val="21"/>
        </w:rPr>
      </w:pPr>
      <w:r>
        <w:rPr>
          <w:rFonts w:hint="eastAsia" w:ascii="Times New Roman" w:eastAsia="黑体"/>
          <w:szCs w:val="21"/>
        </w:rPr>
        <w:t>地面</w:t>
      </w:r>
      <w:r>
        <w:rPr>
          <w:rFonts w:ascii="Times New Roman" w:eastAsia="黑体"/>
          <w:szCs w:val="21"/>
        </w:rPr>
        <w:t>砂浆</w:t>
      </w:r>
      <w:r>
        <w:rPr>
          <w:rFonts w:hint="eastAsia" w:ascii="Times New Roman" w:eastAsia="黑体"/>
          <w:szCs w:val="21"/>
        </w:rPr>
        <w:t xml:space="preserve"> screed </w:t>
      </w:r>
      <w:r>
        <w:rPr>
          <w:rFonts w:ascii="Times New Roman" w:eastAsia="黑体"/>
          <w:szCs w:val="21"/>
        </w:rPr>
        <w:t>mortar</w:t>
      </w:r>
    </w:p>
    <w:p>
      <w:pPr>
        <w:spacing w:line="240" w:lineRule="auto"/>
        <w:ind w:firstLine="426"/>
      </w:pPr>
      <w:r>
        <w:rPr>
          <w:rFonts w:hint="eastAsia"/>
        </w:rPr>
        <w:t>用于建筑地面及屋面找平层的预拌砂浆</w:t>
      </w:r>
      <w:r>
        <w:t>。</w:t>
      </w:r>
    </w:p>
    <w:p>
      <w:pPr>
        <w:pStyle w:val="57"/>
        <w:ind w:firstLine="0" w:firstLineChars="0"/>
        <w:rPr>
          <w:rFonts w:hint="eastAsia" w:ascii="黑体" w:hAnsi="黑体" w:eastAsia="黑体"/>
        </w:rPr>
      </w:pPr>
      <w:r>
        <w:rPr>
          <w:rFonts w:hint="eastAsia" w:ascii="黑体" w:hAnsi="黑体" w:eastAsia="黑体"/>
        </w:rPr>
        <w:t xml:space="preserve">3.12 </w:t>
      </w:r>
    </w:p>
    <w:p>
      <w:pPr>
        <w:pStyle w:val="57"/>
        <w:ind w:firstLine="420"/>
        <w:rPr>
          <w:rFonts w:ascii="Times New Roman" w:eastAsia="黑体"/>
          <w:szCs w:val="21"/>
        </w:rPr>
      </w:pPr>
      <w:r>
        <w:rPr>
          <w:rFonts w:hint="eastAsia" w:ascii="Times New Roman" w:eastAsia="黑体"/>
          <w:szCs w:val="21"/>
        </w:rPr>
        <w:t>普通防水</w:t>
      </w:r>
      <w:r>
        <w:rPr>
          <w:rFonts w:ascii="Times New Roman" w:eastAsia="黑体"/>
          <w:szCs w:val="21"/>
        </w:rPr>
        <w:t xml:space="preserve">砂浆 </w:t>
      </w:r>
      <w:r>
        <w:rPr>
          <w:rFonts w:hint="eastAsia" w:ascii="Times New Roman" w:eastAsia="黑体"/>
          <w:szCs w:val="21"/>
        </w:rPr>
        <w:t xml:space="preserve">general purpose waterproof </w:t>
      </w:r>
      <w:r>
        <w:rPr>
          <w:rFonts w:ascii="Times New Roman" w:eastAsia="黑体"/>
          <w:szCs w:val="21"/>
        </w:rPr>
        <w:t>mortar</w:t>
      </w:r>
    </w:p>
    <w:p>
      <w:pPr>
        <w:spacing w:line="240" w:lineRule="auto"/>
        <w:ind w:firstLine="426"/>
      </w:pPr>
      <w:r>
        <w:rPr>
          <w:rFonts w:hint="eastAsia"/>
        </w:rPr>
        <w:t>用于一般防水工程中有抗渗要求部位的预拌砂浆</w:t>
      </w:r>
      <w:r>
        <w:t>。</w:t>
      </w:r>
    </w:p>
    <w:p>
      <w:pPr>
        <w:pStyle w:val="57"/>
        <w:ind w:firstLine="0" w:firstLineChars="0"/>
        <w:rPr>
          <w:rFonts w:hint="eastAsia" w:ascii="黑体" w:hAnsi="黑体" w:eastAsia="黑体"/>
        </w:rPr>
      </w:pPr>
      <w:r>
        <w:rPr>
          <w:rFonts w:hint="eastAsia" w:ascii="黑体" w:hAnsi="黑体" w:eastAsia="黑体"/>
        </w:rPr>
        <w:t xml:space="preserve">3.13 </w:t>
      </w:r>
    </w:p>
    <w:p>
      <w:pPr>
        <w:pStyle w:val="57"/>
        <w:ind w:firstLine="420"/>
        <w:rPr>
          <w:rFonts w:ascii="Times New Roman" w:eastAsia="黑体"/>
          <w:szCs w:val="21"/>
        </w:rPr>
      </w:pPr>
      <w:r>
        <w:rPr>
          <w:rFonts w:ascii="Times New Roman" w:eastAsia="黑体"/>
          <w:szCs w:val="21"/>
        </w:rPr>
        <w:t>保塑时间</w:t>
      </w:r>
      <w:r>
        <w:rPr>
          <w:rFonts w:hint="eastAsia" w:ascii="Times New Roman" w:eastAsia="黑体"/>
          <w:szCs w:val="21"/>
        </w:rPr>
        <w:t xml:space="preserve"> </w:t>
      </w:r>
      <w:r>
        <w:rPr>
          <w:rFonts w:ascii="Times New Roman" w:eastAsia="黑体"/>
          <w:szCs w:val="21"/>
        </w:rPr>
        <w:t xml:space="preserve">plasticity retention time </w:t>
      </w:r>
    </w:p>
    <w:p>
      <w:pPr>
        <w:spacing w:line="240" w:lineRule="auto"/>
        <w:ind w:firstLine="426"/>
      </w:pPr>
      <w:r>
        <w:t>湿拌砂浆自加水搅拌后，在标准存放条件下密闭储存，至工作性能仍能满足施工要求的时间。</w:t>
      </w:r>
    </w:p>
    <w:p>
      <w:pPr>
        <w:pStyle w:val="57"/>
        <w:ind w:firstLine="0" w:firstLineChars="0"/>
        <w:rPr>
          <w:rFonts w:hint="eastAsia" w:ascii="黑体" w:hAnsi="黑体" w:eastAsia="黑体"/>
        </w:rPr>
      </w:pPr>
      <w:r>
        <w:rPr>
          <w:rFonts w:hint="eastAsia" w:ascii="黑体" w:hAnsi="黑体" w:eastAsia="黑体"/>
        </w:rPr>
        <w:t xml:space="preserve">3.14 </w:t>
      </w:r>
    </w:p>
    <w:p>
      <w:pPr>
        <w:pStyle w:val="57"/>
        <w:ind w:firstLine="420"/>
        <w:rPr>
          <w:rFonts w:ascii="Times New Roman" w:eastAsia="黑体"/>
          <w:szCs w:val="21"/>
        </w:rPr>
      </w:pPr>
      <w:r>
        <w:rPr>
          <w:rFonts w:hint="eastAsia" w:ascii="Times New Roman" w:eastAsia="黑体"/>
          <w:szCs w:val="21"/>
        </w:rPr>
        <w:t>机械喷涂工艺周期</w:t>
      </w:r>
      <w:r>
        <w:rPr>
          <w:rFonts w:ascii="Times New Roman" w:eastAsia="黑体"/>
          <w:szCs w:val="21"/>
        </w:rPr>
        <w:t xml:space="preserve"> working period of mortar spraying</w:t>
      </w:r>
    </w:p>
    <w:p>
      <w:pPr>
        <w:spacing w:line="240" w:lineRule="auto"/>
        <w:ind w:firstLine="424" w:firstLineChars="202"/>
        <w:rPr>
          <w:color w:val="000000"/>
        </w:rPr>
      </w:pPr>
      <w:r>
        <w:rPr>
          <w:rFonts w:hint="eastAsia"/>
          <w:color w:val="000000"/>
        </w:rPr>
        <w:t>从原材料投料完毕时起，直到砂浆从喷枪喷射出来为止的时间间隔，一般包括搅拌、运输、过滤、泵送、喷射等环节</w:t>
      </w:r>
      <w:r>
        <w:rPr>
          <w:color w:val="000000"/>
        </w:rPr>
        <w:t>。</w:t>
      </w:r>
    </w:p>
    <w:p>
      <w:pPr>
        <w:pStyle w:val="57"/>
        <w:ind w:firstLine="0" w:firstLineChars="0"/>
        <w:rPr>
          <w:rFonts w:hint="eastAsia" w:ascii="黑体" w:hAnsi="黑体" w:eastAsia="黑体"/>
        </w:rPr>
      </w:pPr>
      <w:r>
        <w:rPr>
          <w:rFonts w:hint="eastAsia" w:ascii="黑体" w:hAnsi="黑体" w:eastAsia="黑体"/>
        </w:rPr>
        <w:t xml:space="preserve">3.15 </w:t>
      </w:r>
    </w:p>
    <w:p>
      <w:pPr>
        <w:pStyle w:val="57"/>
        <w:ind w:firstLine="420"/>
        <w:rPr>
          <w:rFonts w:ascii="Times New Roman" w:eastAsia="黑体"/>
          <w:szCs w:val="21"/>
        </w:rPr>
      </w:pPr>
      <w:r>
        <w:rPr>
          <w:rFonts w:hint="eastAsia" w:ascii="Times New Roman" w:eastAsia="黑体"/>
          <w:szCs w:val="21"/>
        </w:rPr>
        <w:t>再生细骨料</w:t>
      </w:r>
      <w:r>
        <w:rPr>
          <w:rFonts w:ascii="Times New Roman" w:eastAsia="黑体"/>
          <w:szCs w:val="21"/>
        </w:rPr>
        <w:t xml:space="preserve"> recycled fine aggregate</w:t>
      </w:r>
    </w:p>
    <w:p>
      <w:pPr>
        <w:spacing w:line="240" w:lineRule="auto"/>
        <w:ind w:firstLine="424" w:firstLineChars="202"/>
        <w:rPr>
          <w:rFonts w:ascii="Times New Roman" w:hAnsi="Times New Roman"/>
        </w:rPr>
      </w:pPr>
      <w:r>
        <w:rPr>
          <w:rFonts w:ascii="Times New Roman" w:hAnsi="Times New Roman"/>
        </w:rPr>
        <w:t>由建筑垃圾中的混凝土、砂浆、石或砖瓦等加工而成，粒径小于4.75mm的颗粒。</w:t>
      </w:r>
    </w:p>
    <w:p>
      <w:pPr>
        <w:pStyle w:val="57"/>
        <w:ind w:firstLine="0" w:firstLineChars="0"/>
        <w:rPr>
          <w:rFonts w:hint="eastAsia" w:ascii="黑体" w:hAnsi="黑体" w:eastAsia="黑体"/>
        </w:rPr>
      </w:pPr>
      <w:r>
        <w:rPr>
          <w:rFonts w:hint="eastAsia" w:ascii="黑体" w:hAnsi="黑体" w:eastAsia="黑体"/>
        </w:rPr>
        <w:t xml:space="preserve">3.16 </w:t>
      </w:r>
    </w:p>
    <w:p>
      <w:pPr>
        <w:pStyle w:val="57"/>
        <w:ind w:firstLine="420"/>
        <w:rPr>
          <w:rFonts w:ascii="Times New Roman" w:eastAsia="黑体"/>
          <w:szCs w:val="21"/>
        </w:rPr>
      </w:pPr>
      <w:r>
        <w:rPr>
          <w:rFonts w:hint="eastAsia" w:ascii="Times New Roman" w:eastAsia="黑体"/>
          <w:szCs w:val="21"/>
        </w:rPr>
        <w:t>铁尾矿砂 iron</w:t>
      </w:r>
      <w:r>
        <w:rPr>
          <w:rFonts w:ascii="Times New Roman" w:eastAsia="黑体"/>
          <w:szCs w:val="21"/>
        </w:rPr>
        <w:t xml:space="preserve"> tailings sand</w:t>
      </w:r>
    </w:p>
    <w:p>
      <w:pPr>
        <w:spacing w:line="240" w:lineRule="auto"/>
        <w:ind w:firstLine="424" w:firstLineChars="202"/>
        <w:rPr>
          <w:rFonts w:ascii="Times New Roman" w:hAnsi="Times New Roman"/>
        </w:rPr>
      </w:pPr>
      <w:r>
        <w:rPr>
          <w:rFonts w:ascii="Times New Roman" w:hAnsi="Times New Roman"/>
        </w:rPr>
        <w:t>铁矿石经磨细、分选后产生的粒径小于4.75mm的颗粒。</w:t>
      </w:r>
    </w:p>
    <w:p>
      <w:pPr>
        <w:pStyle w:val="57"/>
        <w:ind w:firstLine="0" w:firstLineChars="0"/>
        <w:rPr>
          <w:rFonts w:hint="eastAsia" w:ascii="黑体" w:hAnsi="黑体" w:eastAsia="黑体"/>
        </w:rPr>
      </w:pPr>
      <w:r>
        <w:rPr>
          <w:rFonts w:hint="eastAsia" w:ascii="黑体" w:hAnsi="黑体" w:eastAsia="黑体"/>
        </w:rPr>
        <w:t xml:space="preserve">3.17 </w:t>
      </w:r>
    </w:p>
    <w:p>
      <w:pPr>
        <w:pStyle w:val="57"/>
        <w:ind w:firstLine="420"/>
        <w:rPr>
          <w:rFonts w:ascii="Times New Roman" w:eastAsia="黑体"/>
          <w:szCs w:val="21"/>
        </w:rPr>
      </w:pPr>
      <w:r>
        <w:rPr>
          <w:rFonts w:hint="eastAsia" w:ascii="Times New Roman" w:eastAsia="黑体"/>
          <w:szCs w:val="21"/>
        </w:rPr>
        <w:t>天然沸石粉</w:t>
      </w:r>
      <w:r>
        <w:rPr>
          <w:rFonts w:ascii="Times New Roman" w:eastAsia="黑体"/>
          <w:szCs w:val="21"/>
        </w:rPr>
        <w:t xml:space="preserve"> natural zeolite powder</w:t>
      </w:r>
    </w:p>
    <w:p>
      <w:pPr>
        <w:spacing w:line="240" w:lineRule="auto"/>
        <w:ind w:firstLine="426"/>
      </w:pPr>
      <w:r>
        <w:rPr>
          <w:rFonts w:hint="eastAsia"/>
        </w:rPr>
        <w:t>以天然沸石岩为原料，经粉磨至规定细度的粉状材料。</w:t>
      </w:r>
    </w:p>
    <w:p>
      <w:pPr>
        <w:pStyle w:val="57"/>
        <w:ind w:firstLine="0" w:firstLineChars="0"/>
        <w:rPr>
          <w:rFonts w:hint="eastAsia" w:ascii="黑体" w:hAnsi="黑体" w:eastAsia="黑体"/>
        </w:rPr>
      </w:pPr>
      <w:r>
        <w:rPr>
          <w:rFonts w:hint="eastAsia" w:ascii="黑体" w:hAnsi="黑体" w:eastAsia="黑体"/>
        </w:rPr>
        <w:t xml:space="preserve">3.18 </w:t>
      </w:r>
    </w:p>
    <w:p>
      <w:pPr>
        <w:pStyle w:val="57"/>
        <w:ind w:firstLine="420"/>
        <w:rPr>
          <w:rFonts w:ascii="Times New Roman" w:eastAsia="黑体"/>
          <w:szCs w:val="21"/>
        </w:rPr>
      </w:pPr>
      <w:r>
        <w:rPr>
          <w:rFonts w:hint="eastAsia" w:ascii="Times New Roman" w:eastAsia="黑体"/>
          <w:szCs w:val="21"/>
        </w:rPr>
        <w:t>再生微粉 recycled</w:t>
      </w:r>
      <w:r>
        <w:rPr>
          <w:rFonts w:ascii="Times New Roman" w:eastAsia="黑体"/>
          <w:szCs w:val="21"/>
        </w:rPr>
        <w:t xml:space="preserve"> </w:t>
      </w:r>
      <w:r>
        <w:rPr>
          <w:rFonts w:hint="eastAsia" w:ascii="Times New Roman" w:eastAsia="黑体"/>
          <w:szCs w:val="21"/>
        </w:rPr>
        <w:t>fine</w:t>
      </w:r>
      <w:r>
        <w:rPr>
          <w:rFonts w:ascii="Times New Roman" w:eastAsia="黑体"/>
          <w:szCs w:val="21"/>
        </w:rPr>
        <w:t xml:space="preserve"> powder</w:t>
      </w:r>
    </w:p>
    <w:p>
      <w:pPr>
        <w:spacing w:line="240" w:lineRule="auto"/>
        <w:ind w:firstLine="424" w:firstLineChars="202"/>
      </w:pPr>
      <w:r>
        <w:rPr>
          <w:rFonts w:ascii="Times New Roman" w:hAnsi="Times New Roman"/>
        </w:rPr>
        <w:t>采用以混凝土、砖瓦等为主要成分的建筑垃圾制备再生骨料过程中伴随产生的粒径小于75μm的颗</w:t>
      </w:r>
      <w:r>
        <w:rPr>
          <w:rFonts w:hint="eastAsia"/>
        </w:rPr>
        <w:t>粒。</w:t>
      </w:r>
    </w:p>
    <w:p>
      <w:pPr>
        <w:pStyle w:val="57"/>
        <w:ind w:firstLine="0" w:firstLineChars="0"/>
        <w:rPr>
          <w:rFonts w:hint="eastAsia" w:ascii="黑体" w:hAnsi="黑体" w:eastAsia="黑体"/>
        </w:rPr>
      </w:pPr>
      <w:r>
        <w:rPr>
          <w:rFonts w:hint="eastAsia" w:ascii="黑体" w:hAnsi="黑体" w:eastAsia="黑体"/>
        </w:rPr>
        <w:t xml:space="preserve">3.19 </w:t>
      </w:r>
    </w:p>
    <w:p>
      <w:pPr>
        <w:pStyle w:val="57"/>
        <w:ind w:firstLine="420"/>
        <w:rPr>
          <w:rFonts w:ascii="Times New Roman" w:eastAsia="黑体"/>
          <w:szCs w:val="21"/>
        </w:rPr>
      </w:pPr>
      <w:r>
        <w:rPr>
          <w:rFonts w:ascii="Times New Roman" w:eastAsia="黑体"/>
          <w:szCs w:val="21"/>
        </w:rPr>
        <w:t>填料 filler</w:t>
      </w:r>
    </w:p>
    <w:p>
      <w:pPr>
        <w:spacing w:line="240" w:lineRule="auto"/>
        <w:ind w:firstLine="426"/>
      </w:pPr>
      <w:r>
        <w:rPr>
          <w:rFonts w:hint="eastAsia"/>
        </w:rPr>
        <w:t>与水泥以及水泥水化产物基本不发生化学反应，掺入砂浆中仅是起到填充体积、降低成本作用</w:t>
      </w:r>
      <w:r>
        <w:t>的矿物材料。</w:t>
      </w:r>
    </w:p>
    <w:p>
      <w:pPr>
        <w:pStyle w:val="57"/>
        <w:ind w:firstLine="0" w:firstLineChars="0"/>
        <w:rPr>
          <w:rFonts w:hint="eastAsia" w:ascii="黑体" w:hAnsi="黑体" w:eastAsia="黑体"/>
        </w:rPr>
      </w:pPr>
      <w:r>
        <w:rPr>
          <w:rFonts w:hint="eastAsia" w:ascii="黑体" w:hAnsi="黑体" w:eastAsia="黑体"/>
        </w:rPr>
        <w:t xml:space="preserve">3.20 </w:t>
      </w:r>
    </w:p>
    <w:p>
      <w:pPr>
        <w:pStyle w:val="57"/>
        <w:ind w:firstLine="420"/>
        <w:rPr>
          <w:rFonts w:ascii="Times New Roman" w:eastAsia="黑体"/>
          <w:szCs w:val="21"/>
        </w:rPr>
      </w:pPr>
      <w:r>
        <w:rPr>
          <w:rFonts w:hint="eastAsia" w:ascii="Times New Roman" w:eastAsia="黑体"/>
          <w:szCs w:val="21"/>
        </w:rPr>
        <w:t>砂浆外加剂</w:t>
      </w:r>
      <w:r>
        <w:rPr>
          <w:rFonts w:ascii="Times New Roman" w:eastAsia="黑体"/>
          <w:szCs w:val="21"/>
        </w:rPr>
        <w:t xml:space="preserve"> </w:t>
      </w:r>
      <w:r>
        <w:rPr>
          <w:rFonts w:hint="eastAsia" w:ascii="Times New Roman" w:eastAsia="黑体"/>
          <w:szCs w:val="21"/>
        </w:rPr>
        <w:t>mortar</w:t>
      </w:r>
      <w:r>
        <w:rPr>
          <w:rFonts w:ascii="Times New Roman" w:eastAsia="黑体"/>
          <w:szCs w:val="21"/>
        </w:rPr>
        <w:t xml:space="preserve"> </w:t>
      </w:r>
      <w:r>
        <w:rPr>
          <w:rFonts w:hint="eastAsia" w:ascii="Times New Roman" w:eastAsia="黑体"/>
          <w:szCs w:val="21"/>
        </w:rPr>
        <w:t>admixture</w:t>
      </w:r>
    </w:p>
    <w:p>
      <w:pPr>
        <w:spacing w:line="240" w:lineRule="auto"/>
        <w:ind w:firstLine="426"/>
      </w:pPr>
      <w:r>
        <w:rPr>
          <w:rFonts w:hint="eastAsia"/>
        </w:rPr>
        <w:t>在拌制砂浆过程中加入的、用以改善砂浆性能的化学功能材料。</w:t>
      </w:r>
    </w:p>
    <w:p>
      <w:pPr>
        <w:pStyle w:val="57"/>
        <w:ind w:firstLine="0" w:firstLineChars="0"/>
        <w:rPr>
          <w:rFonts w:hint="eastAsia" w:ascii="黑体" w:hAnsi="黑体" w:eastAsia="黑体"/>
        </w:rPr>
      </w:pPr>
      <w:r>
        <w:rPr>
          <w:rFonts w:hint="eastAsia" w:ascii="黑体" w:hAnsi="黑体" w:eastAsia="黑体"/>
        </w:rPr>
        <w:t xml:space="preserve">3.21 </w:t>
      </w:r>
    </w:p>
    <w:p>
      <w:pPr>
        <w:pStyle w:val="57"/>
        <w:ind w:firstLine="420"/>
        <w:rPr>
          <w:rFonts w:ascii="Times New Roman" w:eastAsia="黑体"/>
          <w:szCs w:val="21"/>
        </w:rPr>
      </w:pPr>
      <w:r>
        <w:rPr>
          <w:rFonts w:ascii="Times New Roman" w:eastAsia="黑体"/>
          <w:szCs w:val="21"/>
        </w:rPr>
        <w:t>保水增稠材料 water retention and thickening material</w:t>
      </w:r>
    </w:p>
    <w:p>
      <w:pPr>
        <w:spacing w:line="240" w:lineRule="auto"/>
        <w:ind w:firstLine="424" w:firstLineChars="202"/>
      </w:pPr>
      <w:r>
        <w:t>改善预拌砂浆可操作性及保水性能的</w:t>
      </w:r>
      <w:r>
        <w:rPr>
          <w:rFonts w:hint="eastAsia"/>
        </w:rPr>
        <w:t>非石灰型材料</w:t>
      </w:r>
      <w:r>
        <w:t>。</w:t>
      </w:r>
    </w:p>
    <w:p>
      <w:pPr>
        <w:spacing w:line="240" w:lineRule="auto"/>
        <w:ind w:firstLine="424" w:firstLineChars="201"/>
        <w:rPr>
          <w:b/>
        </w:rPr>
      </w:pPr>
    </w:p>
    <w:p>
      <w:pPr>
        <w:pStyle w:val="57"/>
        <w:ind w:firstLine="0" w:firstLineChars="0"/>
        <w:rPr>
          <w:rFonts w:hint="eastAsia" w:ascii="黑体" w:hAnsi="黑体" w:eastAsia="黑体"/>
        </w:rPr>
      </w:pPr>
      <w:r>
        <w:rPr>
          <w:rFonts w:hint="eastAsia" w:ascii="黑体" w:hAnsi="黑体" w:eastAsia="黑体"/>
        </w:rPr>
        <w:t xml:space="preserve">3.22 </w:t>
      </w:r>
    </w:p>
    <w:p>
      <w:pPr>
        <w:pStyle w:val="57"/>
        <w:ind w:firstLine="420"/>
        <w:rPr>
          <w:rFonts w:ascii="Times New Roman" w:eastAsia="黑体"/>
          <w:szCs w:val="21"/>
        </w:rPr>
      </w:pPr>
      <w:r>
        <w:rPr>
          <w:rFonts w:hint="eastAsia" w:ascii="Times New Roman" w:eastAsia="黑体"/>
          <w:szCs w:val="21"/>
        </w:rPr>
        <w:t>湿拌砂浆稳塑剂</w:t>
      </w:r>
      <w:r>
        <w:rPr>
          <w:rFonts w:ascii="Times New Roman" w:eastAsia="黑体"/>
          <w:szCs w:val="21"/>
        </w:rPr>
        <w:t xml:space="preserve"> plasticity-retaining agen</w:t>
      </w:r>
      <w:r>
        <w:rPr>
          <w:rFonts w:hint="eastAsia" w:ascii="Times New Roman" w:eastAsia="黑体"/>
          <w:szCs w:val="21"/>
        </w:rPr>
        <w:t>t</w:t>
      </w:r>
      <w:r>
        <w:rPr>
          <w:rFonts w:ascii="Times New Roman" w:eastAsia="黑体"/>
          <w:szCs w:val="21"/>
        </w:rPr>
        <w:t xml:space="preserve"> for wet-mixed mortar</w:t>
      </w:r>
    </w:p>
    <w:p>
      <w:pPr>
        <w:spacing w:line="240" w:lineRule="auto"/>
        <w:ind w:firstLine="426"/>
      </w:pPr>
      <w:r>
        <w:rPr>
          <w:rFonts w:hint="eastAsia"/>
        </w:rPr>
        <w:t>改善水泥基湿拌砂浆的和易性，使砂浆在保塑时间内性能稳定的外加剂。</w:t>
      </w:r>
    </w:p>
    <w:p>
      <w:pPr>
        <w:pStyle w:val="105"/>
        <w:spacing w:before="312" w:after="312"/>
      </w:pPr>
      <w:r>
        <w:rPr>
          <w:rFonts w:hint="eastAsia"/>
        </w:rPr>
        <w:t>技术要求</w:t>
      </w:r>
    </w:p>
    <w:p>
      <w:pPr>
        <w:pStyle w:val="106"/>
        <w:spacing w:before="156" w:after="156"/>
      </w:pPr>
      <w:r>
        <w:rPr>
          <w:rFonts w:hint="eastAsia"/>
        </w:rPr>
        <w:t>分类与标记</w:t>
      </w:r>
    </w:p>
    <w:p>
      <w:pPr>
        <w:pStyle w:val="166"/>
        <w:rPr>
          <w:rFonts w:ascii="Times New Roman"/>
          <w:szCs w:val="21"/>
        </w:rPr>
      </w:pPr>
      <w:r>
        <w:rPr>
          <w:szCs w:val="21"/>
        </w:rPr>
        <w:t>干混砂浆</w:t>
      </w:r>
      <w:r>
        <w:rPr>
          <w:rFonts w:hint="eastAsia" w:hAnsi="宋体"/>
          <w:szCs w:val="21"/>
        </w:rPr>
        <w:t>按用途主要分为干混砌筑砂浆、干混抹灰砂浆、干混地面砂浆、干混普通防水砂浆。干混砌筑砂浆按施工厚度分为普通砌筑砂浆和薄层砌筑砂浆，干</w:t>
      </w:r>
      <w:r>
        <w:rPr>
          <w:rFonts w:ascii="Times New Roman"/>
          <w:szCs w:val="21"/>
        </w:rPr>
        <w:t>混抹灰砂浆按施工厚度或施工方法分为普通抹灰砂浆、薄层抹灰砂浆和机喷抹灰砂浆。干混砂浆</w:t>
      </w:r>
      <w:r>
        <w:rPr>
          <w:rFonts w:hint="eastAsia" w:ascii="Times New Roman"/>
          <w:szCs w:val="21"/>
        </w:rPr>
        <w:t>的</w:t>
      </w:r>
      <w:r>
        <w:rPr>
          <w:rFonts w:ascii="Times New Roman"/>
          <w:szCs w:val="21"/>
        </w:rPr>
        <w:t>品种和分类应符合表1的规定。</w:t>
      </w:r>
    </w:p>
    <w:p>
      <w:pPr>
        <w:pStyle w:val="166"/>
        <w:numPr>
          <w:ilvl w:val="0"/>
          <w:numId w:val="0"/>
        </w:numPr>
        <w:spacing w:before="156" w:beforeLines="50" w:after="156" w:afterLines="50"/>
        <w:jc w:val="center"/>
        <w:rPr>
          <w:rFonts w:ascii="Times New Roman" w:eastAsia="黑体"/>
          <w:b/>
          <w:szCs w:val="21"/>
        </w:rPr>
      </w:pPr>
      <w:r>
        <w:rPr>
          <w:rFonts w:ascii="Times New Roman" w:eastAsia="黑体"/>
          <w:szCs w:val="21"/>
        </w:rPr>
        <w:t xml:space="preserve">表1 </w:t>
      </w:r>
      <w:r>
        <w:rPr>
          <w:rFonts w:ascii="Times New Roman" w:eastAsia="黑体"/>
          <w:b/>
          <w:szCs w:val="21"/>
        </w:rPr>
        <w:t>干混砂浆的品种和分类</w:t>
      </w:r>
    </w:p>
    <w:tbl>
      <w:tblPr>
        <w:tblStyle w:val="27"/>
        <w:tblW w:w="4995"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7"/>
        <w:gridCol w:w="1415"/>
        <w:gridCol w:w="990"/>
        <w:gridCol w:w="1273"/>
        <w:gridCol w:w="1417"/>
        <w:gridCol w:w="1275"/>
        <w:gridCol w:w="962"/>
        <w:gridCol w:w="1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06" w:type="pct"/>
            <w:vMerge w:val="restart"/>
            <w:tcBorders>
              <w:top w:val="single" w:color="auto" w:sz="12" w:space="0"/>
              <w:lef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品种</w:t>
            </w:r>
          </w:p>
        </w:tc>
        <w:tc>
          <w:tcPr>
            <w:tcW w:w="1258" w:type="pct"/>
            <w:gridSpan w:val="2"/>
            <w:tcBorders>
              <w:top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干混砌筑砂浆</w:t>
            </w:r>
          </w:p>
        </w:tc>
        <w:tc>
          <w:tcPr>
            <w:tcW w:w="2074" w:type="pct"/>
            <w:gridSpan w:val="3"/>
            <w:tcBorders>
              <w:top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干混抹灰砂浆</w:t>
            </w:r>
          </w:p>
        </w:tc>
        <w:tc>
          <w:tcPr>
            <w:tcW w:w="503" w:type="pct"/>
            <w:vMerge w:val="restart"/>
            <w:tcBorders>
              <w:top w:val="single" w:color="auto" w:sz="12" w:space="0"/>
            </w:tcBorders>
            <w:vAlign w:val="center"/>
          </w:tcPr>
          <w:p>
            <w:pPr>
              <w:spacing w:line="240" w:lineRule="auto"/>
              <w:ind w:leftChars="-36" w:hanging="75" w:hangingChars="42"/>
              <w:jc w:val="center"/>
              <w:rPr>
                <w:rFonts w:ascii="Times New Roman" w:hAnsi="Times New Roman"/>
                <w:sz w:val="18"/>
                <w:szCs w:val="18"/>
              </w:rPr>
            </w:pPr>
            <w:r>
              <w:rPr>
                <w:rFonts w:ascii="Times New Roman" w:hAnsi="Times New Roman"/>
                <w:sz w:val="18"/>
                <w:szCs w:val="18"/>
              </w:rPr>
              <w:t>干混地面砂浆</w:t>
            </w:r>
          </w:p>
        </w:tc>
        <w:tc>
          <w:tcPr>
            <w:tcW w:w="659" w:type="pct"/>
            <w:vMerge w:val="restart"/>
            <w:tcBorders>
              <w:top w:val="single" w:color="auto" w:sz="12" w:space="0"/>
              <w:righ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干混普通</w:t>
            </w:r>
          </w:p>
          <w:p>
            <w:pPr>
              <w:spacing w:line="240" w:lineRule="auto"/>
              <w:jc w:val="center"/>
              <w:rPr>
                <w:rFonts w:ascii="Times New Roman" w:hAnsi="Times New Roman"/>
                <w:sz w:val="18"/>
                <w:szCs w:val="18"/>
              </w:rPr>
            </w:pPr>
            <w:r>
              <w:rPr>
                <w:rFonts w:ascii="Times New Roman" w:hAnsi="Times New Roman"/>
                <w:sz w:val="18"/>
                <w:szCs w:val="18"/>
              </w:rPr>
              <w:t>防水砂浆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06" w:type="pct"/>
            <w:vMerge w:val="continue"/>
            <w:tcBorders>
              <w:left w:val="single" w:color="auto" w:sz="12" w:space="0"/>
              <w:bottom w:val="single" w:color="auto" w:sz="12" w:space="0"/>
            </w:tcBorders>
            <w:vAlign w:val="center"/>
          </w:tcPr>
          <w:p>
            <w:pPr>
              <w:spacing w:line="240" w:lineRule="auto"/>
              <w:jc w:val="center"/>
              <w:rPr>
                <w:rFonts w:ascii="Times New Roman" w:hAnsi="Times New Roman"/>
                <w:sz w:val="18"/>
                <w:szCs w:val="18"/>
              </w:rPr>
            </w:pPr>
          </w:p>
        </w:tc>
        <w:tc>
          <w:tcPr>
            <w:tcW w:w="740" w:type="pct"/>
            <w:tcBorders>
              <w:bottom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普通砌筑砂浆</w:t>
            </w:r>
          </w:p>
        </w:tc>
        <w:tc>
          <w:tcPr>
            <w:tcW w:w="518" w:type="pct"/>
            <w:tcBorders>
              <w:bottom w:val="single" w:color="auto" w:sz="12" w:space="0"/>
            </w:tcBorders>
            <w:vAlign w:val="center"/>
          </w:tcPr>
          <w:p>
            <w:pPr>
              <w:spacing w:line="240" w:lineRule="auto"/>
              <w:ind w:left="0" w:leftChars="-53" w:hanging="111" w:hangingChars="62"/>
              <w:jc w:val="center"/>
              <w:rPr>
                <w:rFonts w:ascii="Times New Roman" w:hAnsi="Times New Roman"/>
                <w:sz w:val="18"/>
                <w:szCs w:val="18"/>
              </w:rPr>
            </w:pPr>
            <w:r>
              <w:rPr>
                <w:rFonts w:ascii="Times New Roman" w:hAnsi="Times New Roman"/>
                <w:sz w:val="18"/>
                <w:szCs w:val="18"/>
              </w:rPr>
              <w:t>薄层砌筑</w:t>
            </w:r>
          </w:p>
          <w:p>
            <w:pPr>
              <w:spacing w:line="240" w:lineRule="auto"/>
              <w:ind w:left="0" w:leftChars="-53" w:hanging="111" w:hangingChars="62"/>
              <w:jc w:val="center"/>
              <w:rPr>
                <w:rFonts w:ascii="Times New Roman" w:hAnsi="Times New Roman"/>
                <w:sz w:val="18"/>
                <w:szCs w:val="18"/>
              </w:rPr>
            </w:pPr>
            <w:r>
              <w:rPr>
                <w:rFonts w:ascii="Times New Roman" w:hAnsi="Times New Roman"/>
                <w:sz w:val="18"/>
                <w:szCs w:val="18"/>
              </w:rPr>
              <w:t>砂浆</w:t>
            </w:r>
          </w:p>
        </w:tc>
        <w:tc>
          <w:tcPr>
            <w:tcW w:w="666" w:type="pct"/>
            <w:tcBorders>
              <w:bottom w:val="single" w:color="auto" w:sz="12" w:space="0"/>
            </w:tcBorders>
            <w:vAlign w:val="center"/>
          </w:tcPr>
          <w:p>
            <w:pPr>
              <w:spacing w:line="240" w:lineRule="auto"/>
              <w:ind w:left="-2" w:leftChars="-40" w:hanging="82" w:hangingChars="46"/>
              <w:jc w:val="center"/>
              <w:rPr>
                <w:rFonts w:ascii="Times New Roman" w:hAnsi="Times New Roman"/>
                <w:sz w:val="18"/>
                <w:szCs w:val="18"/>
              </w:rPr>
            </w:pPr>
            <w:r>
              <w:rPr>
                <w:rFonts w:ascii="Times New Roman" w:hAnsi="Times New Roman"/>
                <w:sz w:val="18"/>
                <w:szCs w:val="18"/>
              </w:rPr>
              <w:t>普通抹灰砂浆</w:t>
            </w:r>
          </w:p>
        </w:tc>
        <w:tc>
          <w:tcPr>
            <w:tcW w:w="741" w:type="pct"/>
            <w:tcBorders>
              <w:bottom w:val="single" w:color="auto" w:sz="12" w:space="0"/>
            </w:tcBorders>
            <w:vAlign w:val="center"/>
          </w:tcPr>
          <w:p>
            <w:pPr>
              <w:spacing w:line="240" w:lineRule="auto"/>
              <w:ind w:left="1" w:leftChars="-38" w:hanging="81" w:hangingChars="45"/>
              <w:jc w:val="center"/>
              <w:rPr>
                <w:rFonts w:ascii="Times New Roman" w:hAnsi="Times New Roman"/>
                <w:sz w:val="18"/>
                <w:szCs w:val="18"/>
              </w:rPr>
            </w:pPr>
            <w:r>
              <w:rPr>
                <w:rFonts w:ascii="Times New Roman" w:hAnsi="Times New Roman"/>
                <w:sz w:val="18"/>
                <w:szCs w:val="18"/>
              </w:rPr>
              <w:t>薄层抹灰砂浆</w:t>
            </w:r>
          </w:p>
        </w:tc>
        <w:tc>
          <w:tcPr>
            <w:tcW w:w="667" w:type="pct"/>
            <w:tcBorders>
              <w:bottom w:val="single" w:color="auto" w:sz="12" w:space="0"/>
            </w:tcBorders>
            <w:vAlign w:val="center"/>
          </w:tcPr>
          <w:p>
            <w:pPr>
              <w:spacing w:line="240" w:lineRule="auto"/>
              <w:ind w:left="-1" w:leftChars="-37" w:hanging="77" w:hangingChars="43"/>
              <w:jc w:val="center"/>
              <w:rPr>
                <w:rFonts w:ascii="Times New Roman" w:hAnsi="Times New Roman"/>
                <w:sz w:val="18"/>
                <w:szCs w:val="18"/>
              </w:rPr>
            </w:pPr>
            <w:r>
              <w:rPr>
                <w:rFonts w:ascii="Times New Roman" w:hAnsi="Times New Roman"/>
                <w:sz w:val="18"/>
                <w:szCs w:val="18"/>
              </w:rPr>
              <w:t>机喷抹灰砂浆</w:t>
            </w:r>
          </w:p>
        </w:tc>
        <w:tc>
          <w:tcPr>
            <w:tcW w:w="503" w:type="pct"/>
            <w:vMerge w:val="continue"/>
            <w:tcBorders>
              <w:bottom w:val="single" w:color="auto" w:sz="12" w:space="0"/>
            </w:tcBorders>
            <w:vAlign w:val="center"/>
          </w:tcPr>
          <w:p>
            <w:pPr>
              <w:spacing w:line="240" w:lineRule="auto"/>
              <w:jc w:val="center"/>
              <w:rPr>
                <w:rFonts w:ascii="Times New Roman" w:hAnsi="Times New Roman"/>
                <w:sz w:val="18"/>
                <w:szCs w:val="18"/>
              </w:rPr>
            </w:pPr>
          </w:p>
        </w:tc>
        <w:tc>
          <w:tcPr>
            <w:tcW w:w="659" w:type="pct"/>
            <w:vMerge w:val="continue"/>
            <w:tcBorders>
              <w:bottom w:val="single" w:color="auto" w:sz="12" w:space="0"/>
              <w:right w:val="single" w:color="auto" w:sz="12" w:space="0"/>
            </w:tcBorders>
            <w:vAlign w:val="center"/>
          </w:tcPr>
          <w:p>
            <w:pPr>
              <w:spacing w:line="240" w:lineRule="auto"/>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06" w:type="pct"/>
            <w:tcBorders>
              <w:top w:val="single" w:color="auto" w:sz="12" w:space="0"/>
              <w:lef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代号</w:t>
            </w:r>
          </w:p>
        </w:tc>
        <w:tc>
          <w:tcPr>
            <w:tcW w:w="740" w:type="pct"/>
            <w:tcBorders>
              <w:top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DM-G</w:t>
            </w:r>
          </w:p>
        </w:tc>
        <w:tc>
          <w:tcPr>
            <w:tcW w:w="518" w:type="pct"/>
            <w:tcBorders>
              <w:top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DM-T</w:t>
            </w:r>
          </w:p>
        </w:tc>
        <w:tc>
          <w:tcPr>
            <w:tcW w:w="666" w:type="pct"/>
            <w:tcBorders>
              <w:top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DP-G</w:t>
            </w:r>
          </w:p>
        </w:tc>
        <w:tc>
          <w:tcPr>
            <w:tcW w:w="741" w:type="pct"/>
            <w:tcBorders>
              <w:top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DP-T</w:t>
            </w:r>
          </w:p>
        </w:tc>
        <w:tc>
          <w:tcPr>
            <w:tcW w:w="667" w:type="pct"/>
            <w:tcBorders>
              <w:top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DP-S</w:t>
            </w:r>
          </w:p>
        </w:tc>
        <w:tc>
          <w:tcPr>
            <w:tcW w:w="503" w:type="pct"/>
            <w:tcBorders>
              <w:top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DS</w:t>
            </w:r>
          </w:p>
        </w:tc>
        <w:tc>
          <w:tcPr>
            <w:tcW w:w="659" w:type="pct"/>
            <w:tcBorders>
              <w:top w:val="single" w:color="auto" w:sz="12" w:space="0"/>
              <w:righ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DW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06" w:type="pct"/>
            <w:tcBorders>
              <w:left w:val="single" w:color="auto" w:sz="12" w:space="0"/>
              <w:bottom w:val="single" w:color="000000"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强度等级</w:t>
            </w:r>
          </w:p>
        </w:tc>
        <w:tc>
          <w:tcPr>
            <w:tcW w:w="740" w:type="pct"/>
            <w:tcBorders>
              <w:bottom w:val="single" w:color="000000"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M5、M7.5、M10、M15、M20、M25、M30</w:t>
            </w:r>
          </w:p>
        </w:tc>
        <w:tc>
          <w:tcPr>
            <w:tcW w:w="518" w:type="pct"/>
            <w:tcBorders>
              <w:bottom w:val="single" w:color="000000"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M5、M10</w:t>
            </w:r>
          </w:p>
        </w:tc>
        <w:tc>
          <w:tcPr>
            <w:tcW w:w="666" w:type="pct"/>
            <w:tcBorders>
              <w:bottom w:val="single" w:color="000000"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M5、M7.5、M10、M15、M20</w:t>
            </w:r>
          </w:p>
        </w:tc>
        <w:tc>
          <w:tcPr>
            <w:tcW w:w="741" w:type="pct"/>
            <w:tcBorders>
              <w:bottom w:val="single" w:color="000000"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M5、M7.5、M10</w:t>
            </w:r>
          </w:p>
        </w:tc>
        <w:tc>
          <w:tcPr>
            <w:tcW w:w="667" w:type="pct"/>
            <w:tcBorders>
              <w:bottom w:val="single" w:color="000000"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M5、M7.5、M10、M15、M20</w:t>
            </w:r>
          </w:p>
        </w:tc>
        <w:tc>
          <w:tcPr>
            <w:tcW w:w="503" w:type="pct"/>
            <w:tcBorders>
              <w:bottom w:val="single" w:color="000000" w:sz="4" w:space="0"/>
            </w:tcBorders>
            <w:vAlign w:val="center"/>
          </w:tcPr>
          <w:p>
            <w:pPr>
              <w:spacing w:line="240" w:lineRule="auto"/>
              <w:ind w:left="210" w:leftChars="100"/>
              <w:rPr>
                <w:rFonts w:ascii="Times New Roman" w:hAnsi="Times New Roman"/>
                <w:sz w:val="18"/>
                <w:szCs w:val="18"/>
              </w:rPr>
            </w:pPr>
            <w:r>
              <w:rPr>
                <w:rFonts w:ascii="Times New Roman" w:hAnsi="Times New Roman"/>
                <w:sz w:val="18"/>
                <w:szCs w:val="18"/>
              </w:rPr>
              <w:t>M15、M20</w:t>
            </w:r>
            <w:r>
              <w:rPr>
                <w:rFonts w:hint="eastAsia" w:ascii="Times New Roman" w:hAnsi="Times New Roman"/>
                <w:sz w:val="18"/>
                <w:szCs w:val="18"/>
              </w:rPr>
              <w:t>、</w:t>
            </w:r>
            <w:r>
              <w:rPr>
                <w:rFonts w:ascii="Times New Roman" w:hAnsi="Times New Roman"/>
                <w:sz w:val="18"/>
                <w:szCs w:val="18"/>
              </w:rPr>
              <w:t>M25</w:t>
            </w:r>
          </w:p>
        </w:tc>
        <w:tc>
          <w:tcPr>
            <w:tcW w:w="659" w:type="pct"/>
            <w:tcBorders>
              <w:bottom w:val="single" w:color="000000" w:sz="4" w:space="0"/>
              <w:righ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M15、M20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06" w:type="pct"/>
            <w:tcBorders>
              <w:left w:val="single" w:color="auto" w:sz="12" w:space="0"/>
              <w:bottom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抗渗等级</w:t>
            </w:r>
          </w:p>
        </w:tc>
        <w:tc>
          <w:tcPr>
            <w:tcW w:w="740" w:type="pct"/>
            <w:tcBorders>
              <w:bottom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518" w:type="pct"/>
            <w:tcBorders>
              <w:bottom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666" w:type="pct"/>
            <w:tcBorders>
              <w:bottom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741" w:type="pct"/>
            <w:tcBorders>
              <w:bottom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667" w:type="pct"/>
            <w:tcBorders>
              <w:bottom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503" w:type="pct"/>
            <w:tcBorders>
              <w:bottom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659" w:type="pct"/>
            <w:tcBorders>
              <w:bottom w:val="single" w:color="auto" w:sz="12" w:space="0"/>
              <w:righ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P6、P8、P10</w:t>
            </w:r>
          </w:p>
        </w:tc>
      </w:tr>
    </w:tbl>
    <w:p>
      <w:pPr>
        <w:pStyle w:val="166"/>
        <w:spacing w:before="312" w:beforeLines="100"/>
        <w:rPr>
          <w:rFonts w:hint="eastAsia" w:hAnsi="宋体"/>
          <w:szCs w:val="21"/>
        </w:rPr>
      </w:pPr>
      <w:r>
        <w:rPr>
          <w:rFonts w:hint="eastAsia" w:hAnsi="宋体"/>
          <w:szCs w:val="21"/>
        </w:rPr>
        <w:t>湿拌</w:t>
      </w:r>
      <w:r>
        <w:rPr>
          <w:rFonts w:hAnsi="宋体"/>
          <w:szCs w:val="21"/>
        </w:rPr>
        <w:t>砂浆</w:t>
      </w:r>
      <w:r>
        <w:rPr>
          <w:rFonts w:hint="eastAsia" w:hAnsi="宋体"/>
          <w:szCs w:val="21"/>
        </w:rPr>
        <w:t>按用途分为湿拌砌筑砂浆、湿拌抹灰砂浆、湿拌地面砂浆、湿</w:t>
      </w:r>
      <w:r>
        <w:rPr>
          <w:rFonts w:ascii="Times New Roman"/>
          <w:szCs w:val="21"/>
        </w:rPr>
        <w:t>拌防水砂浆。湿拌抹灰砂浆按施工方法分为普通抹灰砂浆和机喷抹灰砂浆。湿拌砂浆</w:t>
      </w:r>
      <w:r>
        <w:rPr>
          <w:rFonts w:hint="eastAsia" w:ascii="Times New Roman"/>
          <w:szCs w:val="21"/>
        </w:rPr>
        <w:t>的</w:t>
      </w:r>
      <w:r>
        <w:rPr>
          <w:rFonts w:ascii="Times New Roman"/>
          <w:szCs w:val="21"/>
        </w:rPr>
        <w:t>品种和分类应符合表2的规</w:t>
      </w:r>
      <w:r>
        <w:rPr>
          <w:rFonts w:hint="eastAsia" w:hAnsi="宋体"/>
          <w:szCs w:val="21"/>
        </w:rPr>
        <w:t>定。</w:t>
      </w:r>
    </w:p>
    <w:p>
      <w:pPr>
        <w:pStyle w:val="166"/>
        <w:numPr>
          <w:ilvl w:val="0"/>
          <w:numId w:val="0"/>
        </w:numPr>
        <w:spacing w:before="156" w:beforeLines="50" w:after="156" w:afterLines="50"/>
        <w:jc w:val="center"/>
        <w:rPr>
          <w:rFonts w:ascii="Times New Roman" w:eastAsia="黑体"/>
          <w:szCs w:val="21"/>
        </w:rPr>
      </w:pPr>
      <w:r>
        <w:rPr>
          <w:rFonts w:ascii="Times New Roman" w:eastAsia="黑体"/>
          <w:szCs w:val="21"/>
        </w:rPr>
        <w:t xml:space="preserve">表2 </w:t>
      </w:r>
      <w:r>
        <w:rPr>
          <w:rFonts w:hint="eastAsia" w:ascii="Times New Roman" w:eastAsia="黑体"/>
          <w:szCs w:val="21"/>
        </w:rPr>
        <w:t>湿拌</w:t>
      </w:r>
      <w:r>
        <w:rPr>
          <w:rFonts w:ascii="Times New Roman" w:eastAsia="黑体"/>
          <w:szCs w:val="21"/>
        </w:rPr>
        <w:t>砂浆</w:t>
      </w:r>
      <w:r>
        <w:rPr>
          <w:rFonts w:hint="eastAsia" w:ascii="Times New Roman" w:eastAsia="黑体"/>
          <w:szCs w:val="21"/>
        </w:rPr>
        <w:t>的品种和分类</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77"/>
        <w:gridCol w:w="1753"/>
        <w:gridCol w:w="1673"/>
        <w:gridCol w:w="1675"/>
        <w:gridCol w:w="1696"/>
        <w:gridCol w:w="16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63" w:type="pct"/>
            <w:vMerge w:val="restart"/>
            <w:tcBorders>
              <w:top w:val="single" w:color="auto" w:sz="12" w:space="0"/>
              <w:lef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品种</w:t>
            </w:r>
          </w:p>
        </w:tc>
        <w:tc>
          <w:tcPr>
            <w:tcW w:w="916" w:type="pct"/>
            <w:vMerge w:val="restart"/>
            <w:tcBorders>
              <w:top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湿拌砌筑砂浆</w:t>
            </w:r>
          </w:p>
        </w:tc>
        <w:tc>
          <w:tcPr>
            <w:tcW w:w="1749" w:type="pct"/>
            <w:gridSpan w:val="2"/>
            <w:tcBorders>
              <w:top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湿拌抹灰砂浆</w:t>
            </w:r>
          </w:p>
        </w:tc>
        <w:tc>
          <w:tcPr>
            <w:tcW w:w="886" w:type="pct"/>
            <w:vMerge w:val="restart"/>
            <w:tcBorders>
              <w:top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湿拌地面砂浆</w:t>
            </w:r>
          </w:p>
        </w:tc>
        <w:tc>
          <w:tcPr>
            <w:tcW w:w="886" w:type="pct"/>
            <w:vMerge w:val="restart"/>
            <w:tcBorders>
              <w:top w:val="single" w:color="auto" w:sz="12" w:space="0"/>
              <w:righ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湿拌防水砂浆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63" w:type="pct"/>
            <w:vMerge w:val="continue"/>
            <w:tcBorders>
              <w:left w:val="single" w:color="auto" w:sz="12" w:space="0"/>
              <w:bottom w:val="single" w:color="auto" w:sz="12" w:space="0"/>
            </w:tcBorders>
            <w:vAlign w:val="center"/>
          </w:tcPr>
          <w:p>
            <w:pPr>
              <w:spacing w:line="240" w:lineRule="auto"/>
              <w:jc w:val="center"/>
              <w:rPr>
                <w:rFonts w:ascii="Times New Roman" w:hAnsi="Times New Roman"/>
                <w:sz w:val="18"/>
                <w:szCs w:val="18"/>
              </w:rPr>
            </w:pPr>
          </w:p>
        </w:tc>
        <w:tc>
          <w:tcPr>
            <w:tcW w:w="916" w:type="pct"/>
            <w:vMerge w:val="continue"/>
            <w:tcBorders>
              <w:bottom w:val="single" w:color="auto" w:sz="12" w:space="0"/>
            </w:tcBorders>
            <w:vAlign w:val="center"/>
          </w:tcPr>
          <w:p>
            <w:pPr>
              <w:spacing w:line="240" w:lineRule="auto"/>
              <w:jc w:val="center"/>
              <w:rPr>
                <w:rFonts w:ascii="Times New Roman" w:hAnsi="Times New Roman"/>
                <w:sz w:val="18"/>
                <w:szCs w:val="18"/>
              </w:rPr>
            </w:pPr>
          </w:p>
        </w:tc>
        <w:tc>
          <w:tcPr>
            <w:tcW w:w="874" w:type="pct"/>
            <w:tcBorders>
              <w:bottom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普通抹灰砂浆</w:t>
            </w:r>
          </w:p>
        </w:tc>
        <w:tc>
          <w:tcPr>
            <w:tcW w:w="875" w:type="pct"/>
            <w:tcBorders>
              <w:bottom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机喷抹灰砂浆</w:t>
            </w:r>
          </w:p>
        </w:tc>
        <w:tc>
          <w:tcPr>
            <w:tcW w:w="886" w:type="pct"/>
            <w:vMerge w:val="continue"/>
            <w:tcBorders>
              <w:bottom w:val="single" w:color="auto" w:sz="12" w:space="0"/>
            </w:tcBorders>
            <w:vAlign w:val="center"/>
          </w:tcPr>
          <w:p>
            <w:pPr>
              <w:spacing w:line="240" w:lineRule="auto"/>
              <w:jc w:val="center"/>
              <w:rPr>
                <w:rFonts w:ascii="Times New Roman" w:hAnsi="Times New Roman"/>
                <w:sz w:val="18"/>
                <w:szCs w:val="18"/>
              </w:rPr>
            </w:pPr>
          </w:p>
        </w:tc>
        <w:tc>
          <w:tcPr>
            <w:tcW w:w="886" w:type="pct"/>
            <w:vMerge w:val="continue"/>
            <w:tcBorders>
              <w:bottom w:val="single" w:color="auto" w:sz="12" w:space="0"/>
              <w:right w:val="single" w:color="auto" w:sz="12" w:space="0"/>
            </w:tcBorders>
            <w:vAlign w:val="center"/>
          </w:tcPr>
          <w:p>
            <w:pPr>
              <w:spacing w:line="240" w:lineRule="auto"/>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63" w:type="pct"/>
            <w:tcBorders>
              <w:top w:val="single" w:color="auto" w:sz="12" w:space="0"/>
              <w:lef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代号</w:t>
            </w:r>
          </w:p>
        </w:tc>
        <w:tc>
          <w:tcPr>
            <w:tcW w:w="916" w:type="pct"/>
            <w:tcBorders>
              <w:top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WM</w:t>
            </w:r>
          </w:p>
        </w:tc>
        <w:tc>
          <w:tcPr>
            <w:tcW w:w="874" w:type="pct"/>
            <w:tcBorders>
              <w:top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WP-G</w:t>
            </w:r>
          </w:p>
        </w:tc>
        <w:tc>
          <w:tcPr>
            <w:tcW w:w="875" w:type="pct"/>
            <w:tcBorders>
              <w:top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WP-S</w:t>
            </w:r>
          </w:p>
        </w:tc>
        <w:tc>
          <w:tcPr>
            <w:tcW w:w="886" w:type="pct"/>
            <w:tcBorders>
              <w:top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WS</w:t>
            </w:r>
          </w:p>
        </w:tc>
        <w:tc>
          <w:tcPr>
            <w:tcW w:w="886" w:type="pct"/>
            <w:tcBorders>
              <w:top w:val="single" w:color="auto" w:sz="12" w:space="0"/>
              <w:righ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WW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63" w:type="pct"/>
            <w:tcBorders>
              <w:lef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强度等级</w:t>
            </w:r>
          </w:p>
        </w:tc>
        <w:tc>
          <w:tcPr>
            <w:tcW w:w="916" w:type="pct"/>
            <w:vAlign w:val="center"/>
          </w:tcPr>
          <w:p>
            <w:pPr>
              <w:spacing w:line="240" w:lineRule="auto"/>
              <w:jc w:val="center"/>
              <w:rPr>
                <w:rFonts w:ascii="Times New Roman" w:hAnsi="Times New Roman"/>
                <w:sz w:val="18"/>
                <w:szCs w:val="18"/>
              </w:rPr>
            </w:pPr>
            <w:r>
              <w:rPr>
                <w:rFonts w:ascii="Times New Roman" w:hAnsi="Times New Roman"/>
                <w:sz w:val="18"/>
                <w:szCs w:val="18"/>
              </w:rPr>
              <w:t>M5、M7.5、M10、M15、M20、M25、M30</w:t>
            </w:r>
          </w:p>
        </w:tc>
        <w:tc>
          <w:tcPr>
            <w:tcW w:w="1749" w:type="pct"/>
            <w:gridSpan w:val="2"/>
            <w:vAlign w:val="center"/>
          </w:tcPr>
          <w:p>
            <w:pPr>
              <w:spacing w:line="240" w:lineRule="auto"/>
              <w:jc w:val="center"/>
              <w:rPr>
                <w:rFonts w:ascii="Times New Roman" w:hAnsi="Times New Roman"/>
                <w:sz w:val="18"/>
                <w:szCs w:val="18"/>
              </w:rPr>
            </w:pPr>
            <w:r>
              <w:rPr>
                <w:rFonts w:ascii="Times New Roman" w:hAnsi="Times New Roman"/>
                <w:sz w:val="18"/>
                <w:szCs w:val="18"/>
              </w:rPr>
              <w:t>M5、M7.5、M10、M15、M20</w:t>
            </w:r>
          </w:p>
        </w:tc>
        <w:tc>
          <w:tcPr>
            <w:tcW w:w="886" w:type="pct"/>
            <w:vAlign w:val="center"/>
          </w:tcPr>
          <w:p>
            <w:pPr>
              <w:spacing w:line="240" w:lineRule="auto"/>
              <w:jc w:val="center"/>
              <w:rPr>
                <w:rFonts w:ascii="Times New Roman" w:hAnsi="Times New Roman"/>
                <w:sz w:val="18"/>
                <w:szCs w:val="18"/>
              </w:rPr>
            </w:pPr>
            <w:r>
              <w:rPr>
                <w:rFonts w:ascii="Times New Roman" w:hAnsi="Times New Roman"/>
                <w:sz w:val="18"/>
                <w:szCs w:val="18"/>
              </w:rPr>
              <w:t>M15、M20、M25</w:t>
            </w:r>
          </w:p>
        </w:tc>
        <w:tc>
          <w:tcPr>
            <w:tcW w:w="886" w:type="pct"/>
            <w:tcBorders>
              <w:righ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M15、M20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63" w:type="pct"/>
            <w:tcBorders>
              <w:lef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抗渗等级</w:t>
            </w:r>
          </w:p>
        </w:tc>
        <w:tc>
          <w:tcPr>
            <w:tcW w:w="916" w:type="pct"/>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1749" w:type="pct"/>
            <w:gridSpan w:val="2"/>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886" w:type="pct"/>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886" w:type="pct"/>
            <w:tcBorders>
              <w:righ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P6、P8、P10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63" w:type="pct"/>
            <w:tcBorders>
              <w:left w:val="single" w:color="auto" w:sz="12" w:space="0"/>
              <w:bottom w:val="single" w:color="000000"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稠度/mm</w:t>
            </w:r>
          </w:p>
        </w:tc>
        <w:tc>
          <w:tcPr>
            <w:tcW w:w="916" w:type="pct"/>
            <w:tcBorders>
              <w:bottom w:val="single" w:color="000000"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50、70、90</w:t>
            </w:r>
          </w:p>
        </w:tc>
        <w:tc>
          <w:tcPr>
            <w:tcW w:w="874" w:type="pct"/>
            <w:tcBorders>
              <w:bottom w:val="single" w:color="000000"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70、90、100</w:t>
            </w:r>
          </w:p>
        </w:tc>
        <w:tc>
          <w:tcPr>
            <w:tcW w:w="875" w:type="pct"/>
            <w:tcBorders>
              <w:bottom w:val="single" w:color="000000"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90、100</w:t>
            </w:r>
          </w:p>
        </w:tc>
        <w:tc>
          <w:tcPr>
            <w:tcW w:w="886" w:type="pct"/>
            <w:tcBorders>
              <w:bottom w:val="single" w:color="000000"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50</w:t>
            </w:r>
          </w:p>
        </w:tc>
        <w:tc>
          <w:tcPr>
            <w:tcW w:w="886" w:type="pct"/>
            <w:tcBorders>
              <w:bottom w:val="single" w:color="000000" w:sz="4" w:space="0"/>
              <w:righ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50、70、90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63" w:type="pct"/>
            <w:tcBorders>
              <w:left w:val="single" w:color="auto" w:sz="12" w:space="0"/>
              <w:bottom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保塑时间/h</w:t>
            </w:r>
          </w:p>
        </w:tc>
        <w:tc>
          <w:tcPr>
            <w:tcW w:w="916" w:type="pct"/>
            <w:tcBorders>
              <w:bottom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6、8、12、24</w:t>
            </w:r>
          </w:p>
        </w:tc>
        <w:tc>
          <w:tcPr>
            <w:tcW w:w="1749" w:type="pct"/>
            <w:gridSpan w:val="2"/>
            <w:tcBorders>
              <w:bottom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6、8、12、24</w:t>
            </w:r>
          </w:p>
        </w:tc>
        <w:tc>
          <w:tcPr>
            <w:tcW w:w="886" w:type="pct"/>
            <w:tcBorders>
              <w:bottom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4、6、8</w:t>
            </w:r>
          </w:p>
        </w:tc>
        <w:tc>
          <w:tcPr>
            <w:tcW w:w="886" w:type="pct"/>
            <w:tcBorders>
              <w:bottom w:val="single" w:color="auto" w:sz="12" w:space="0"/>
              <w:righ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6、8、12、24</w:t>
            </w:r>
          </w:p>
        </w:tc>
      </w:tr>
    </w:tbl>
    <w:p>
      <w:pPr>
        <w:pStyle w:val="166"/>
        <w:spacing w:before="312" w:beforeLines="100"/>
        <w:rPr>
          <w:rFonts w:ascii="Times New Roman"/>
          <w:szCs w:val="21"/>
        </w:rPr>
      </w:pPr>
      <w:r>
        <w:rPr>
          <w:rFonts w:hint="eastAsia" w:hAnsi="宋体"/>
          <w:szCs w:val="21"/>
        </w:rPr>
        <w:t>干混砂浆、湿拌砂浆的标记应符</w:t>
      </w:r>
      <w:r>
        <w:rPr>
          <w:rFonts w:ascii="Times New Roman"/>
          <w:szCs w:val="21"/>
        </w:rPr>
        <w:t>合GB/T 25181的规定。</w:t>
      </w:r>
    </w:p>
    <w:p>
      <w:pPr>
        <w:pStyle w:val="106"/>
        <w:spacing w:before="156" w:after="156"/>
      </w:pPr>
      <w:r>
        <w:t>性能指标</w:t>
      </w:r>
    </w:p>
    <w:p>
      <w:pPr>
        <w:pStyle w:val="166"/>
        <w:spacing w:before="156" w:beforeLines="50"/>
      </w:pPr>
      <w:r>
        <w:rPr>
          <w:rFonts w:hAnsi="宋体"/>
          <w:szCs w:val="21"/>
        </w:rPr>
        <w:t>预拌砂浆</w:t>
      </w:r>
      <w:r>
        <w:rPr>
          <w:rFonts w:hint="eastAsia" w:ascii="Times New Roman"/>
          <w:szCs w:val="21"/>
        </w:rPr>
        <w:t>的抗压强度和抗渗压力应分别符合表3和表4的规定。</w:t>
      </w:r>
    </w:p>
    <w:p>
      <w:pPr>
        <w:pStyle w:val="166"/>
        <w:numPr>
          <w:ilvl w:val="0"/>
          <w:numId w:val="0"/>
        </w:numPr>
        <w:spacing w:before="156" w:beforeLines="50" w:after="156" w:afterLines="50"/>
        <w:jc w:val="center"/>
        <w:rPr>
          <w:rFonts w:ascii="Times New Roman" w:eastAsia="黑体"/>
          <w:szCs w:val="21"/>
        </w:rPr>
      </w:pPr>
      <w:r>
        <w:rPr>
          <w:rFonts w:hint="eastAsia" w:ascii="Times New Roman" w:eastAsia="黑体"/>
          <w:szCs w:val="21"/>
        </w:rPr>
        <w:t>表</w:t>
      </w:r>
      <w:r>
        <w:rPr>
          <w:rFonts w:ascii="Times New Roman" w:eastAsia="黑体"/>
          <w:szCs w:val="21"/>
        </w:rPr>
        <w:t xml:space="preserve">3 </w:t>
      </w:r>
      <w:r>
        <w:rPr>
          <w:rFonts w:hint="eastAsia" w:ascii="Times New Roman" w:eastAsia="黑体"/>
          <w:szCs w:val="21"/>
        </w:rPr>
        <w:t>预拌砂浆抗压强度</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12"/>
        <w:gridCol w:w="1121"/>
        <w:gridCol w:w="1121"/>
        <w:gridCol w:w="1124"/>
        <w:gridCol w:w="1122"/>
        <w:gridCol w:w="1124"/>
        <w:gridCol w:w="1122"/>
        <w:gridCol w:w="11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895" w:type="pct"/>
            <w:tcBorders>
              <w:top w:val="single" w:color="auto" w:sz="12" w:space="0"/>
              <w:left w:val="single" w:color="auto" w:sz="12" w:space="0"/>
              <w:bottom w:val="single" w:color="000000" w:sz="4"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强度等级</w:t>
            </w:r>
          </w:p>
        </w:tc>
        <w:tc>
          <w:tcPr>
            <w:tcW w:w="586" w:type="pct"/>
            <w:tcBorders>
              <w:top w:val="single" w:color="auto" w:sz="12" w:space="0"/>
              <w:bottom w:val="single" w:color="000000"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M5</w:t>
            </w:r>
          </w:p>
        </w:tc>
        <w:tc>
          <w:tcPr>
            <w:tcW w:w="586" w:type="pct"/>
            <w:tcBorders>
              <w:top w:val="single" w:color="auto" w:sz="12" w:space="0"/>
              <w:bottom w:val="single" w:color="000000"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M7.5</w:t>
            </w:r>
          </w:p>
        </w:tc>
        <w:tc>
          <w:tcPr>
            <w:tcW w:w="587" w:type="pct"/>
            <w:tcBorders>
              <w:top w:val="single" w:color="auto" w:sz="12" w:space="0"/>
              <w:bottom w:val="single" w:color="000000"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M10</w:t>
            </w:r>
          </w:p>
        </w:tc>
        <w:tc>
          <w:tcPr>
            <w:tcW w:w="586" w:type="pct"/>
            <w:tcBorders>
              <w:top w:val="single" w:color="auto" w:sz="12" w:space="0"/>
              <w:bottom w:val="single" w:color="000000"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M15</w:t>
            </w:r>
          </w:p>
        </w:tc>
        <w:tc>
          <w:tcPr>
            <w:tcW w:w="587" w:type="pct"/>
            <w:tcBorders>
              <w:top w:val="single" w:color="auto" w:sz="12" w:space="0"/>
              <w:bottom w:val="single" w:color="000000" w:sz="4"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M20</w:t>
            </w:r>
          </w:p>
        </w:tc>
        <w:tc>
          <w:tcPr>
            <w:tcW w:w="586" w:type="pct"/>
            <w:tcBorders>
              <w:top w:val="single" w:color="auto" w:sz="12" w:space="0"/>
              <w:left w:val="single" w:color="auto" w:sz="4" w:space="0"/>
              <w:bottom w:val="single" w:color="000000" w:sz="4"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M25</w:t>
            </w:r>
          </w:p>
        </w:tc>
        <w:tc>
          <w:tcPr>
            <w:tcW w:w="587" w:type="pct"/>
            <w:tcBorders>
              <w:top w:val="single" w:color="auto" w:sz="12" w:space="0"/>
              <w:left w:val="single" w:color="auto" w:sz="4" w:space="0"/>
              <w:bottom w:val="single" w:color="000000" w:sz="4" w:space="0"/>
              <w:righ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M30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895" w:type="pct"/>
            <w:tcBorders>
              <w:left w:val="single" w:color="auto" w:sz="12" w:space="0"/>
              <w:bottom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28d抗压强度/MPa</w:t>
            </w:r>
          </w:p>
        </w:tc>
        <w:tc>
          <w:tcPr>
            <w:tcW w:w="586" w:type="pct"/>
            <w:tcBorders>
              <w:bottom w:val="single" w:color="auto" w:sz="12"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≥5.0</w:t>
            </w:r>
          </w:p>
        </w:tc>
        <w:tc>
          <w:tcPr>
            <w:tcW w:w="586" w:type="pct"/>
            <w:tcBorders>
              <w:left w:val="single" w:color="auto" w:sz="4" w:space="0"/>
              <w:bottom w:val="single" w:color="auto" w:sz="12"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≥7.5</w:t>
            </w:r>
          </w:p>
        </w:tc>
        <w:tc>
          <w:tcPr>
            <w:tcW w:w="587" w:type="pct"/>
            <w:tcBorders>
              <w:left w:val="single" w:color="auto" w:sz="4" w:space="0"/>
              <w:bottom w:val="single" w:color="auto" w:sz="12"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≥10.0</w:t>
            </w:r>
          </w:p>
        </w:tc>
        <w:tc>
          <w:tcPr>
            <w:tcW w:w="586" w:type="pct"/>
            <w:tcBorders>
              <w:left w:val="single" w:color="auto" w:sz="4" w:space="0"/>
              <w:bottom w:val="single" w:color="auto" w:sz="12"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≥15.0</w:t>
            </w:r>
          </w:p>
        </w:tc>
        <w:tc>
          <w:tcPr>
            <w:tcW w:w="587" w:type="pct"/>
            <w:tcBorders>
              <w:left w:val="single" w:color="auto" w:sz="4" w:space="0"/>
              <w:bottom w:val="single" w:color="auto" w:sz="12"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≥20.0</w:t>
            </w:r>
          </w:p>
        </w:tc>
        <w:tc>
          <w:tcPr>
            <w:tcW w:w="586" w:type="pct"/>
            <w:tcBorders>
              <w:left w:val="single" w:color="auto" w:sz="4" w:space="0"/>
              <w:bottom w:val="single" w:color="auto" w:sz="12"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≥25.0</w:t>
            </w:r>
          </w:p>
        </w:tc>
        <w:tc>
          <w:tcPr>
            <w:tcW w:w="587" w:type="pct"/>
            <w:tcBorders>
              <w:left w:val="single" w:color="auto" w:sz="4" w:space="0"/>
              <w:bottom w:val="single" w:color="auto" w:sz="12" w:space="0"/>
              <w:righ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≥30.0</w:t>
            </w:r>
          </w:p>
        </w:tc>
      </w:tr>
    </w:tbl>
    <w:p>
      <w:pPr>
        <w:pStyle w:val="166"/>
        <w:numPr>
          <w:ilvl w:val="0"/>
          <w:numId w:val="0"/>
        </w:numPr>
        <w:spacing w:before="156" w:beforeLines="50" w:after="156" w:afterLines="50"/>
        <w:jc w:val="center"/>
        <w:rPr>
          <w:rFonts w:ascii="Times New Roman" w:eastAsia="黑体"/>
          <w:szCs w:val="21"/>
        </w:rPr>
      </w:pPr>
      <w:r>
        <w:rPr>
          <w:rFonts w:hint="eastAsia" w:ascii="Times New Roman" w:eastAsia="黑体"/>
          <w:szCs w:val="21"/>
        </w:rPr>
        <w:t>表4预拌砂浆抗渗压力</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509"/>
        <w:gridCol w:w="2354"/>
        <w:gridCol w:w="2354"/>
        <w:gridCol w:w="23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311" w:type="pct"/>
            <w:tcBorders>
              <w:top w:val="single" w:color="auto" w:sz="12" w:space="0"/>
              <w:left w:val="single" w:color="auto" w:sz="12" w:space="0"/>
              <w:bottom w:val="single" w:color="000000" w:sz="4" w:space="0"/>
              <w:right w:val="single" w:color="auto" w:sz="4"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抗渗</w:t>
            </w:r>
            <w:r>
              <w:rPr>
                <w:rFonts w:ascii="Times New Roman" w:hAnsi="Times New Roman"/>
                <w:sz w:val="18"/>
                <w:szCs w:val="18"/>
              </w:rPr>
              <w:t>等级</w:t>
            </w:r>
          </w:p>
        </w:tc>
        <w:tc>
          <w:tcPr>
            <w:tcW w:w="1230" w:type="pct"/>
            <w:tcBorders>
              <w:top w:val="single" w:color="auto" w:sz="12" w:space="0"/>
              <w:bottom w:val="single" w:color="000000" w:sz="4"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P</w:t>
            </w:r>
            <w:r>
              <w:rPr>
                <w:rFonts w:ascii="Times New Roman" w:hAnsi="Times New Roman"/>
                <w:sz w:val="18"/>
                <w:szCs w:val="18"/>
              </w:rPr>
              <w:t>6</w:t>
            </w:r>
          </w:p>
        </w:tc>
        <w:tc>
          <w:tcPr>
            <w:tcW w:w="1230" w:type="pct"/>
            <w:tcBorders>
              <w:top w:val="single" w:color="auto" w:sz="12" w:space="0"/>
              <w:bottom w:val="single" w:color="000000" w:sz="4"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P8</w:t>
            </w:r>
          </w:p>
        </w:tc>
        <w:tc>
          <w:tcPr>
            <w:tcW w:w="1229" w:type="pct"/>
            <w:tcBorders>
              <w:top w:val="single" w:color="auto" w:sz="12" w:space="0"/>
              <w:bottom w:val="single" w:color="000000" w:sz="4" w:space="0"/>
              <w:right w:val="single" w:color="auto" w:sz="12"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P10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311" w:type="pct"/>
            <w:tcBorders>
              <w:left w:val="single" w:color="auto" w:sz="12" w:space="0"/>
              <w:bottom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28d</w:t>
            </w:r>
            <w:r>
              <w:rPr>
                <w:rFonts w:hint="eastAsia" w:ascii="Times New Roman" w:hAnsi="Times New Roman"/>
                <w:sz w:val="18"/>
                <w:szCs w:val="18"/>
              </w:rPr>
              <w:t>抗渗压力/MPa</w:t>
            </w:r>
          </w:p>
        </w:tc>
        <w:tc>
          <w:tcPr>
            <w:tcW w:w="1230" w:type="pct"/>
            <w:tcBorders>
              <w:bottom w:val="single" w:color="auto" w:sz="12"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≥0.6</w:t>
            </w:r>
          </w:p>
        </w:tc>
        <w:tc>
          <w:tcPr>
            <w:tcW w:w="1230" w:type="pct"/>
            <w:tcBorders>
              <w:left w:val="single" w:color="auto" w:sz="4" w:space="0"/>
              <w:bottom w:val="single" w:color="auto" w:sz="12"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≥0.8</w:t>
            </w:r>
          </w:p>
        </w:tc>
        <w:tc>
          <w:tcPr>
            <w:tcW w:w="1229" w:type="pct"/>
            <w:tcBorders>
              <w:left w:val="single" w:color="auto" w:sz="4" w:space="0"/>
              <w:bottom w:val="single" w:color="auto" w:sz="12" w:space="0"/>
              <w:righ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≥1.0</w:t>
            </w:r>
          </w:p>
        </w:tc>
      </w:tr>
    </w:tbl>
    <w:p>
      <w:pPr>
        <w:pStyle w:val="166"/>
        <w:spacing w:before="312" w:beforeLines="100"/>
        <w:rPr>
          <w:rFonts w:ascii="Times New Roman"/>
          <w:szCs w:val="21"/>
        </w:rPr>
      </w:pPr>
      <w:r>
        <w:rPr>
          <w:rFonts w:hint="eastAsia" w:ascii="Times New Roman"/>
          <w:szCs w:val="21"/>
        </w:rPr>
        <w:t>干混砂浆外观应均匀无结块，其性能指标应符合表5的规定。</w:t>
      </w:r>
    </w:p>
    <w:p>
      <w:pPr>
        <w:pStyle w:val="166"/>
        <w:numPr>
          <w:ilvl w:val="0"/>
          <w:numId w:val="0"/>
        </w:numPr>
        <w:spacing w:before="156" w:beforeLines="50" w:after="156" w:afterLines="50"/>
        <w:jc w:val="center"/>
        <w:rPr>
          <w:rFonts w:ascii="Times New Roman" w:eastAsia="黑体"/>
          <w:szCs w:val="21"/>
        </w:rPr>
      </w:pPr>
      <w:r>
        <w:rPr>
          <w:rFonts w:ascii="Times New Roman" w:eastAsia="黑体"/>
          <w:szCs w:val="21"/>
        </w:rPr>
        <w:t>表</w:t>
      </w:r>
      <w:r>
        <w:rPr>
          <w:rFonts w:hint="eastAsia" w:ascii="Times New Roman" w:eastAsia="黑体"/>
          <w:szCs w:val="21"/>
        </w:rPr>
        <w:t>5</w:t>
      </w:r>
      <w:r>
        <w:rPr>
          <w:rFonts w:ascii="Times New Roman" w:eastAsia="黑体"/>
          <w:szCs w:val="21"/>
        </w:rPr>
        <w:t>干混砂浆</w:t>
      </w:r>
      <w:r>
        <w:rPr>
          <w:rFonts w:hint="eastAsia" w:ascii="Times New Roman" w:eastAsia="黑体"/>
          <w:szCs w:val="21"/>
        </w:rPr>
        <w:t>性能指标</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1416"/>
        <w:gridCol w:w="923"/>
        <w:gridCol w:w="924"/>
        <w:gridCol w:w="850"/>
        <w:gridCol w:w="854"/>
        <w:gridCol w:w="852"/>
        <w:gridCol w:w="844"/>
        <w:gridCol w:w="869"/>
        <w:gridCol w:w="10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41" w:type="pct"/>
            <w:gridSpan w:val="2"/>
            <w:vMerge w:val="restart"/>
            <w:tcBorders>
              <w:top w:val="single" w:color="auto" w:sz="12" w:space="0"/>
              <w:left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项目</w:t>
            </w:r>
          </w:p>
        </w:tc>
        <w:tc>
          <w:tcPr>
            <w:tcW w:w="965" w:type="pct"/>
            <w:gridSpan w:val="2"/>
            <w:tcBorders>
              <w:top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干混砌筑砂浆</w:t>
            </w:r>
          </w:p>
        </w:tc>
        <w:tc>
          <w:tcPr>
            <w:tcW w:w="1776" w:type="pct"/>
            <w:gridSpan w:val="4"/>
            <w:tcBorders>
              <w:top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干混抹灰砂浆</w:t>
            </w:r>
          </w:p>
        </w:tc>
        <w:tc>
          <w:tcPr>
            <w:tcW w:w="454" w:type="pct"/>
            <w:vMerge w:val="restart"/>
            <w:tcBorders>
              <w:top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干混地面砂浆</w:t>
            </w:r>
          </w:p>
        </w:tc>
        <w:tc>
          <w:tcPr>
            <w:tcW w:w="564" w:type="pct"/>
            <w:vMerge w:val="restart"/>
            <w:tcBorders>
              <w:top w:val="single" w:color="auto" w:sz="12" w:space="0"/>
              <w:right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干混普通防水砂浆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41" w:type="pct"/>
            <w:gridSpan w:val="2"/>
            <w:vMerge w:val="continue"/>
            <w:tcBorders>
              <w:left w:val="single" w:color="auto" w:sz="12" w:space="0"/>
              <w:bottom w:val="single" w:color="auto" w:sz="12" w:space="0"/>
            </w:tcBorders>
            <w:shd w:val="clear" w:color="auto" w:fill="auto"/>
            <w:vAlign w:val="center"/>
          </w:tcPr>
          <w:p>
            <w:pPr>
              <w:spacing w:line="240" w:lineRule="auto"/>
              <w:jc w:val="center"/>
              <w:rPr>
                <w:rFonts w:ascii="Times New Roman" w:hAnsi="Times New Roman"/>
                <w:sz w:val="18"/>
                <w:szCs w:val="18"/>
              </w:rPr>
            </w:pPr>
          </w:p>
        </w:tc>
        <w:tc>
          <w:tcPr>
            <w:tcW w:w="482" w:type="pct"/>
            <w:tcBorders>
              <w:bottom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普通砌筑砂浆</w:t>
            </w:r>
          </w:p>
        </w:tc>
        <w:tc>
          <w:tcPr>
            <w:tcW w:w="483" w:type="pct"/>
            <w:tcBorders>
              <w:bottom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薄层砌筑砂浆</w:t>
            </w:r>
          </w:p>
        </w:tc>
        <w:tc>
          <w:tcPr>
            <w:tcW w:w="890" w:type="pct"/>
            <w:gridSpan w:val="2"/>
            <w:tcBorders>
              <w:bottom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普通抹灰砂浆</w:t>
            </w:r>
          </w:p>
        </w:tc>
        <w:tc>
          <w:tcPr>
            <w:tcW w:w="445" w:type="pct"/>
            <w:tcBorders>
              <w:bottom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薄层抹灰砂浆</w:t>
            </w:r>
          </w:p>
        </w:tc>
        <w:tc>
          <w:tcPr>
            <w:tcW w:w="441" w:type="pct"/>
            <w:tcBorders>
              <w:bottom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机喷抹灰砂浆</w:t>
            </w:r>
          </w:p>
        </w:tc>
        <w:tc>
          <w:tcPr>
            <w:tcW w:w="454" w:type="pct"/>
            <w:vMerge w:val="continue"/>
            <w:tcBorders>
              <w:bottom w:val="single" w:color="auto" w:sz="12" w:space="0"/>
            </w:tcBorders>
            <w:shd w:val="clear" w:color="auto" w:fill="auto"/>
            <w:vAlign w:val="center"/>
          </w:tcPr>
          <w:p>
            <w:pPr>
              <w:spacing w:line="240" w:lineRule="auto"/>
              <w:jc w:val="center"/>
              <w:rPr>
                <w:rFonts w:ascii="Times New Roman" w:hAnsi="Times New Roman"/>
                <w:sz w:val="18"/>
                <w:szCs w:val="18"/>
              </w:rPr>
            </w:pPr>
          </w:p>
        </w:tc>
        <w:tc>
          <w:tcPr>
            <w:tcW w:w="564" w:type="pct"/>
            <w:vMerge w:val="continue"/>
            <w:tcBorders>
              <w:bottom w:val="single" w:color="auto" w:sz="12" w:space="0"/>
              <w:right w:val="single" w:color="auto" w:sz="12"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41" w:type="pct"/>
            <w:gridSpan w:val="2"/>
            <w:tcBorders>
              <w:top w:val="single" w:color="auto" w:sz="12" w:space="0"/>
              <w:left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保水率/%</w:t>
            </w:r>
          </w:p>
        </w:tc>
        <w:tc>
          <w:tcPr>
            <w:tcW w:w="482" w:type="pct"/>
            <w:tcBorders>
              <w:top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≥90.0</w:t>
            </w:r>
          </w:p>
        </w:tc>
        <w:tc>
          <w:tcPr>
            <w:tcW w:w="483" w:type="pct"/>
            <w:tcBorders>
              <w:top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≥99.0</w:t>
            </w:r>
          </w:p>
        </w:tc>
        <w:tc>
          <w:tcPr>
            <w:tcW w:w="890" w:type="pct"/>
            <w:gridSpan w:val="2"/>
            <w:tcBorders>
              <w:top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≥90.0</w:t>
            </w:r>
          </w:p>
        </w:tc>
        <w:tc>
          <w:tcPr>
            <w:tcW w:w="445" w:type="pct"/>
            <w:tcBorders>
              <w:top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≥99.0</w:t>
            </w:r>
          </w:p>
        </w:tc>
        <w:tc>
          <w:tcPr>
            <w:tcW w:w="441" w:type="pct"/>
            <w:tcBorders>
              <w:top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≥92.0</w:t>
            </w:r>
          </w:p>
        </w:tc>
        <w:tc>
          <w:tcPr>
            <w:tcW w:w="454" w:type="pct"/>
            <w:tcBorders>
              <w:top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≥90.0</w:t>
            </w:r>
          </w:p>
        </w:tc>
        <w:tc>
          <w:tcPr>
            <w:tcW w:w="564" w:type="pct"/>
            <w:tcBorders>
              <w:top w:val="single" w:color="auto" w:sz="12" w:space="0"/>
              <w:right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≥90.0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41" w:type="pct"/>
            <w:gridSpan w:val="2"/>
            <w:tcBorders>
              <w:left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凝结时间/h</w:t>
            </w:r>
          </w:p>
        </w:tc>
        <w:tc>
          <w:tcPr>
            <w:tcW w:w="482"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3~12</w:t>
            </w:r>
          </w:p>
        </w:tc>
        <w:tc>
          <w:tcPr>
            <w:tcW w:w="483"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890" w:type="pct"/>
            <w:gridSpan w:val="2"/>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3~12</w:t>
            </w:r>
          </w:p>
        </w:tc>
        <w:tc>
          <w:tcPr>
            <w:tcW w:w="445"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441"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454"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3~9</w:t>
            </w:r>
          </w:p>
        </w:tc>
        <w:tc>
          <w:tcPr>
            <w:tcW w:w="564" w:type="pct"/>
            <w:tcBorders>
              <w:right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3~12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41" w:type="pct"/>
            <w:gridSpan w:val="2"/>
            <w:tcBorders>
              <w:left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2h稠度损失率/%</w:t>
            </w:r>
          </w:p>
        </w:tc>
        <w:tc>
          <w:tcPr>
            <w:tcW w:w="482"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≤30</w:t>
            </w:r>
          </w:p>
        </w:tc>
        <w:tc>
          <w:tcPr>
            <w:tcW w:w="483"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890" w:type="pct"/>
            <w:gridSpan w:val="2"/>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≤30</w:t>
            </w:r>
          </w:p>
        </w:tc>
        <w:tc>
          <w:tcPr>
            <w:tcW w:w="445"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441"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≤30</w:t>
            </w:r>
          </w:p>
        </w:tc>
        <w:tc>
          <w:tcPr>
            <w:tcW w:w="454"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≤30</w:t>
            </w:r>
          </w:p>
        </w:tc>
        <w:tc>
          <w:tcPr>
            <w:tcW w:w="564" w:type="pct"/>
            <w:tcBorders>
              <w:right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41" w:type="pct"/>
            <w:gridSpan w:val="2"/>
            <w:tcBorders>
              <w:left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压力泌水率/%</w:t>
            </w:r>
          </w:p>
        </w:tc>
        <w:tc>
          <w:tcPr>
            <w:tcW w:w="482"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483"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890" w:type="pct"/>
            <w:gridSpan w:val="2"/>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445"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441"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&lt;40</w:t>
            </w:r>
          </w:p>
        </w:tc>
        <w:tc>
          <w:tcPr>
            <w:tcW w:w="454"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564" w:type="pct"/>
            <w:tcBorders>
              <w:right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41" w:type="pct"/>
            <w:gridSpan w:val="2"/>
            <w:tcBorders>
              <w:left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28d抗压强度/MPa</w:t>
            </w:r>
          </w:p>
        </w:tc>
        <w:tc>
          <w:tcPr>
            <w:tcW w:w="3759" w:type="pct"/>
            <w:gridSpan w:val="8"/>
            <w:tcBorders>
              <w:right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不小于砂浆强度等级对应的立方体抗压强度标准值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41" w:type="pct"/>
            <w:gridSpan w:val="2"/>
            <w:vMerge w:val="restart"/>
            <w:tcBorders>
              <w:left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14d拉伸粘结强度/MPa</w:t>
            </w:r>
          </w:p>
        </w:tc>
        <w:tc>
          <w:tcPr>
            <w:tcW w:w="482" w:type="pct"/>
            <w:vMerge w:val="restar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483" w:type="pct"/>
            <w:vMerge w:val="restar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444"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M5</w:t>
            </w:r>
          </w:p>
        </w:tc>
        <w:tc>
          <w:tcPr>
            <w:tcW w:w="446"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≥0.15</w:t>
            </w:r>
          </w:p>
        </w:tc>
        <w:tc>
          <w:tcPr>
            <w:tcW w:w="445" w:type="pct"/>
            <w:vMerge w:val="restar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≥0.30</w:t>
            </w:r>
          </w:p>
        </w:tc>
        <w:tc>
          <w:tcPr>
            <w:tcW w:w="441" w:type="pct"/>
            <w:vMerge w:val="restar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≥0.20</w:t>
            </w:r>
          </w:p>
        </w:tc>
        <w:tc>
          <w:tcPr>
            <w:tcW w:w="454" w:type="pct"/>
            <w:vMerge w:val="restar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564" w:type="pct"/>
            <w:vMerge w:val="restart"/>
            <w:tcBorders>
              <w:right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≥0.20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41" w:type="pct"/>
            <w:gridSpan w:val="2"/>
            <w:vMerge w:val="continue"/>
            <w:tcBorders>
              <w:left w:val="single" w:color="auto" w:sz="12" w:space="0"/>
            </w:tcBorders>
            <w:shd w:val="clear" w:color="auto" w:fill="auto"/>
            <w:vAlign w:val="center"/>
          </w:tcPr>
          <w:p>
            <w:pPr>
              <w:spacing w:line="240" w:lineRule="auto"/>
              <w:jc w:val="center"/>
              <w:rPr>
                <w:rFonts w:ascii="Times New Roman" w:hAnsi="Times New Roman"/>
                <w:sz w:val="18"/>
                <w:szCs w:val="18"/>
              </w:rPr>
            </w:pPr>
          </w:p>
        </w:tc>
        <w:tc>
          <w:tcPr>
            <w:tcW w:w="482" w:type="pct"/>
            <w:vMerge w:val="continue"/>
            <w:shd w:val="clear" w:color="auto" w:fill="auto"/>
            <w:vAlign w:val="center"/>
          </w:tcPr>
          <w:p>
            <w:pPr>
              <w:spacing w:line="240" w:lineRule="auto"/>
              <w:jc w:val="center"/>
              <w:rPr>
                <w:rFonts w:ascii="Times New Roman" w:hAnsi="Times New Roman"/>
                <w:sz w:val="18"/>
                <w:szCs w:val="18"/>
              </w:rPr>
            </w:pPr>
          </w:p>
        </w:tc>
        <w:tc>
          <w:tcPr>
            <w:tcW w:w="483" w:type="pct"/>
            <w:vMerge w:val="continue"/>
            <w:shd w:val="clear" w:color="auto" w:fill="auto"/>
            <w:vAlign w:val="center"/>
          </w:tcPr>
          <w:p>
            <w:pPr>
              <w:spacing w:line="240" w:lineRule="auto"/>
              <w:jc w:val="center"/>
              <w:rPr>
                <w:rFonts w:ascii="Times New Roman" w:hAnsi="Times New Roman"/>
                <w:sz w:val="18"/>
                <w:szCs w:val="18"/>
              </w:rPr>
            </w:pPr>
          </w:p>
        </w:tc>
        <w:tc>
          <w:tcPr>
            <w:tcW w:w="444"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大于M5</w:t>
            </w:r>
          </w:p>
        </w:tc>
        <w:tc>
          <w:tcPr>
            <w:tcW w:w="446"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≥0.20</w:t>
            </w:r>
          </w:p>
        </w:tc>
        <w:tc>
          <w:tcPr>
            <w:tcW w:w="445" w:type="pct"/>
            <w:vMerge w:val="continue"/>
            <w:shd w:val="clear" w:color="auto" w:fill="auto"/>
            <w:vAlign w:val="center"/>
          </w:tcPr>
          <w:p>
            <w:pPr>
              <w:spacing w:line="240" w:lineRule="auto"/>
              <w:jc w:val="center"/>
              <w:rPr>
                <w:rFonts w:ascii="Times New Roman" w:hAnsi="Times New Roman"/>
                <w:sz w:val="18"/>
                <w:szCs w:val="18"/>
              </w:rPr>
            </w:pPr>
          </w:p>
        </w:tc>
        <w:tc>
          <w:tcPr>
            <w:tcW w:w="441" w:type="pct"/>
            <w:vMerge w:val="continue"/>
            <w:shd w:val="clear" w:color="auto" w:fill="auto"/>
            <w:vAlign w:val="center"/>
          </w:tcPr>
          <w:p>
            <w:pPr>
              <w:spacing w:line="240" w:lineRule="auto"/>
              <w:jc w:val="center"/>
              <w:rPr>
                <w:rFonts w:ascii="Times New Roman" w:hAnsi="Times New Roman"/>
                <w:sz w:val="18"/>
                <w:szCs w:val="18"/>
              </w:rPr>
            </w:pPr>
          </w:p>
        </w:tc>
        <w:tc>
          <w:tcPr>
            <w:tcW w:w="454" w:type="pct"/>
            <w:vMerge w:val="continue"/>
            <w:shd w:val="clear" w:color="auto" w:fill="auto"/>
            <w:vAlign w:val="center"/>
          </w:tcPr>
          <w:p>
            <w:pPr>
              <w:spacing w:line="240" w:lineRule="auto"/>
              <w:jc w:val="center"/>
              <w:rPr>
                <w:rFonts w:ascii="Times New Roman" w:hAnsi="Times New Roman"/>
                <w:sz w:val="18"/>
                <w:szCs w:val="18"/>
              </w:rPr>
            </w:pPr>
          </w:p>
        </w:tc>
        <w:tc>
          <w:tcPr>
            <w:tcW w:w="564" w:type="pct"/>
            <w:vMerge w:val="continue"/>
            <w:tcBorders>
              <w:right w:val="single" w:color="auto" w:sz="12"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41" w:type="pct"/>
            <w:gridSpan w:val="2"/>
            <w:tcBorders>
              <w:left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28d收缩率/%</w:t>
            </w:r>
          </w:p>
        </w:tc>
        <w:tc>
          <w:tcPr>
            <w:tcW w:w="482"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483"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890" w:type="pct"/>
            <w:gridSpan w:val="2"/>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≤0.15</w:t>
            </w:r>
          </w:p>
        </w:tc>
        <w:tc>
          <w:tcPr>
            <w:tcW w:w="445"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≤0.15</w:t>
            </w:r>
          </w:p>
        </w:tc>
        <w:tc>
          <w:tcPr>
            <w:tcW w:w="441"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≤0.15</w:t>
            </w:r>
          </w:p>
        </w:tc>
        <w:tc>
          <w:tcPr>
            <w:tcW w:w="454"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564" w:type="pct"/>
            <w:tcBorders>
              <w:right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≤0.15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41" w:type="pct"/>
            <w:gridSpan w:val="2"/>
            <w:tcBorders>
              <w:left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28d抗渗压力/MPa</w:t>
            </w:r>
          </w:p>
        </w:tc>
        <w:tc>
          <w:tcPr>
            <w:tcW w:w="482"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483"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890" w:type="pct"/>
            <w:gridSpan w:val="2"/>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445"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441"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454"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t>
            </w:r>
          </w:p>
        </w:tc>
        <w:tc>
          <w:tcPr>
            <w:tcW w:w="564" w:type="pct"/>
            <w:tcBorders>
              <w:right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不小于砂浆抗渗等级对应的压力值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01" w:type="pct"/>
            <w:vMerge w:val="restart"/>
            <w:tcBorders>
              <w:left w:val="single" w:color="auto" w:sz="12" w:space="0"/>
            </w:tcBorders>
            <w:shd w:val="clear" w:color="auto" w:fill="auto"/>
            <w:vAlign w:val="center"/>
          </w:tcPr>
          <w:p>
            <w:pPr>
              <w:spacing w:line="240" w:lineRule="auto"/>
              <w:jc w:val="center"/>
              <w:rPr>
                <w:rFonts w:ascii="Times New Roman" w:hAnsi="Times New Roman"/>
                <w:sz w:val="18"/>
                <w:szCs w:val="18"/>
                <w:vertAlign w:val="superscript"/>
              </w:rPr>
            </w:pPr>
            <w:r>
              <w:rPr>
                <w:rFonts w:ascii="Times New Roman" w:hAnsi="Times New Roman"/>
                <w:sz w:val="18"/>
                <w:szCs w:val="18"/>
              </w:rPr>
              <w:t>抗冻性</w:t>
            </w:r>
            <w:r>
              <w:rPr>
                <w:rFonts w:ascii="Cambria Math" w:hAnsi="Cambria Math" w:cs="Cambria Math"/>
                <w:sz w:val="18"/>
                <w:szCs w:val="18"/>
                <w:vertAlign w:val="superscript"/>
              </w:rPr>
              <w:t>a</w:t>
            </w:r>
          </w:p>
        </w:tc>
        <w:tc>
          <w:tcPr>
            <w:tcW w:w="740" w:type="pct"/>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强度损失率/%</w:t>
            </w:r>
          </w:p>
        </w:tc>
        <w:tc>
          <w:tcPr>
            <w:tcW w:w="3759" w:type="pct"/>
            <w:gridSpan w:val="8"/>
            <w:tcBorders>
              <w:right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01" w:type="pct"/>
            <w:vMerge w:val="continue"/>
            <w:tcBorders>
              <w:left w:val="single" w:color="auto" w:sz="12" w:space="0"/>
              <w:bottom w:val="single" w:color="000000" w:sz="12" w:space="0"/>
            </w:tcBorders>
            <w:shd w:val="clear" w:color="auto" w:fill="auto"/>
            <w:vAlign w:val="center"/>
          </w:tcPr>
          <w:p>
            <w:pPr>
              <w:spacing w:line="240" w:lineRule="auto"/>
              <w:jc w:val="center"/>
              <w:rPr>
                <w:rFonts w:ascii="Times New Roman" w:hAnsi="Times New Roman"/>
                <w:sz w:val="18"/>
                <w:szCs w:val="18"/>
              </w:rPr>
            </w:pPr>
          </w:p>
        </w:tc>
        <w:tc>
          <w:tcPr>
            <w:tcW w:w="740" w:type="pct"/>
            <w:tcBorders>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质量损失率/%</w:t>
            </w:r>
          </w:p>
        </w:tc>
        <w:tc>
          <w:tcPr>
            <w:tcW w:w="3759" w:type="pct"/>
            <w:gridSpan w:val="8"/>
            <w:tcBorders>
              <w:bottom w:val="single" w:color="000000" w:sz="12" w:space="0"/>
              <w:right w:val="single" w:color="auto"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000" w:type="pct"/>
            <w:gridSpan w:val="10"/>
            <w:tcBorders>
              <w:top w:val="single" w:color="000000" w:sz="12" w:space="0"/>
              <w:left w:val="single" w:color="000000" w:sz="12" w:space="0"/>
              <w:bottom w:val="single" w:color="auto" w:sz="12" w:space="0"/>
              <w:right w:val="single" w:color="000000" w:sz="12" w:space="0"/>
            </w:tcBorders>
            <w:shd w:val="clear" w:color="auto" w:fill="auto"/>
            <w:vAlign w:val="center"/>
          </w:tcPr>
          <w:p>
            <w:pPr>
              <w:spacing w:line="240" w:lineRule="auto"/>
              <w:ind w:left="851" w:leftChars="204" w:hanging="423" w:hangingChars="235"/>
              <w:rPr>
                <w:rFonts w:ascii="Times New Roman" w:hAnsi="Times New Roman"/>
                <w:sz w:val="18"/>
                <w:szCs w:val="18"/>
                <w:vertAlign w:val="superscript"/>
              </w:rPr>
            </w:pPr>
            <w:r>
              <w:rPr>
                <w:rFonts w:ascii="Times New Roman" w:hAnsi="Times New Roman"/>
                <w:sz w:val="18"/>
                <w:szCs w:val="18"/>
                <w:vertAlign w:val="superscript"/>
              </w:rPr>
              <w:t>a</w:t>
            </w:r>
            <w:r>
              <w:rPr>
                <w:rFonts w:hint="eastAsia" w:ascii="Times New Roman" w:hAnsi="Times New Roman"/>
                <w:sz w:val="18"/>
                <w:szCs w:val="18"/>
                <w:vertAlign w:val="superscript"/>
              </w:rPr>
              <w:t xml:space="preserve">     </w:t>
            </w:r>
            <w:r>
              <w:rPr>
                <w:rFonts w:ascii="Times New Roman" w:hAnsi="Times New Roman"/>
                <w:sz w:val="18"/>
                <w:szCs w:val="18"/>
              </w:rPr>
              <w:t>有抗冻要求时，应参照《建筑砂浆基本性能试验方法》JGJ/T 70进行抗冻性能试验，夏热冬冷地区为25次，寒冷地区为35次。</w:t>
            </w:r>
          </w:p>
        </w:tc>
      </w:tr>
    </w:tbl>
    <w:p>
      <w:pPr>
        <w:pStyle w:val="166"/>
        <w:spacing w:before="312" w:beforeLines="100"/>
        <w:rPr>
          <w:rFonts w:ascii="Times New Roman"/>
          <w:szCs w:val="21"/>
        </w:rPr>
      </w:pPr>
      <w:r>
        <w:rPr>
          <w:rFonts w:hint="eastAsia" w:ascii="Times New Roman"/>
          <w:szCs w:val="21"/>
        </w:rPr>
        <w:t>干混砂浆保质期为3个月，存储时间超过保质期后，应重新检验表5中的全部性能指标，合格后方可使用。</w:t>
      </w:r>
    </w:p>
    <w:p>
      <w:pPr>
        <w:pStyle w:val="166"/>
        <w:rPr>
          <w:rFonts w:ascii="Times New Roman"/>
          <w:szCs w:val="21"/>
        </w:rPr>
      </w:pPr>
      <w:r>
        <w:rPr>
          <w:rFonts w:ascii="Times New Roman"/>
        </w:rPr>
        <w:t>湿拌砂浆外观应色泽均匀，无离析、泌水现象，其性能</w:t>
      </w:r>
      <w:r>
        <w:rPr>
          <w:rFonts w:hint="eastAsia" w:ascii="Times New Roman"/>
        </w:rPr>
        <w:t>指标</w:t>
      </w:r>
      <w:r>
        <w:rPr>
          <w:rFonts w:ascii="Times New Roman"/>
        </w:rPr>
        <w:t>应符合表</w:t>
      </w:r>
      <w:r>
        <w:rPr>
          <w:rFonts w:hint="eastAsia" w:ascii="Times New Roman"/>
        </w:rPr>
        <w:t>6</w:t>
      </w:r>
      <w:r>
        <w:rPr>
          <w:rFonts w:ascii="Times New Roman"/>
        </w:rPr>
        <w:t>和表</w:t>
      </w:r>
      <w:r>
        <w:rPr>
          <w:rFonts w:hint="eastAsia" w:ascii="Times New Roman"/>
        </w:rPr>
        <w:t>7</w:t>
      </w:r>
      <w:r>
        <w:rPr>
          <w:rFonts w:ascii="Times New Roman"/>
        </w:rPr>
        <w:t>的</w:t>
      </w:r>
      <w:r>
        <w:rPr>
          <w:rFonts w:hint="eastAsia" w:ascii="Times New Roman"/>
        </w:rPr>
        <w:t>规定</w:t>
      </w:r>
      <w:r>
        <w:rPr>
          <w:rFonts w:ascii="Times New Roman"/>
        </w:rPr>
        <w:t>，且稠度实测值与合同约定的稠度值之差应符合表</w:t>
      </w:r>
      <w:r>
        <w:rPr>
          <w:rFonts w:hint="eastAsia" w:ascii="Times New Roman"/>
        </w:rPr>
        <w:t>8</w:t>
      </w:r>
      <w:r>
        <w:rPr>
          <w:rFonts w:ascii="Times New Roman"/>
        </w:rPr>
        <w:t>的规定。</w:t>
      </w:r>
    </w:p>
    <w:p>
      <w:pPr>
        <w:pStyle w:val="166"/>
        <w:numPr>
          <w:ilvl w:val="0"/>
          <w:numId w:val="0"/>
        </w:numPr>
        <w:spacing w:before="156" w:beforeLines="50" w:after="156" w:afterLines="50"/>
        <w:jc w:val="center"/>
        <w:rPr>
          <w:rFonts w:ascii="Times New Roman" w:eastAsia="黑体"/>
          <w:szCs w:val="21"/>
        </w:rPr>
      </w:pPr>
      <w:r>
        <w:rPr>
          <w:rFonts w:hint="eastAsia" w:ascii="Times New Roman" w:eastAsia="黑体"/>
          <w:szCs w:val="21"/>
        </w:rPr>
        <w:t>表6</w:t>
      </w:r>
      <w:r>
        <w:rPr>
          <w:rFonts w:ascii="Times New Roman" w:eastAsia="黑体"/>
          <w:szCs w:val="21"/>
        </w:rPr>
        <w:t xml:space="preserve"> </w:t>
      </w:r>
      <w:r>
        <w:rPr>
          <w:rFonts w:hint="eastAsia" w:ascii="Times New Roman" w:eastAsia="黑体"/>
          <w:szCs w:val="21"/>
        </w:rPr>
        <w:t>湿拌砂浆性能指标</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34"/>
        <w:gridCol w:w="1426"/>
        <w:gridCol w:w="1133"/>
        <w:gridCol w:w="850"/>
        <w:gridCol w:w="999"/>
        <w:gridCol w:w="1524"/>
        <w:gridCol w:w="1166"/>
        <w:gridCol w:w="12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390" w:type="pct"/>
            <w:gridSpan w:val="2"/>
            <w:vMerge w:val="restart"/>
            <w:tcBorders>
              <w:top w:val="single" w:color="000000" w:sz="12" w:space="0"/>
              <w:left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项目</w:t>
            </w:r>
          </w:p>
        </w:tc>
        <w:tc>
          <w:tcPr>
            <w:tcW w:w="592" w:type="pct"/>
            <w:vMerge w:val="restart"/>
            <w:tcBorders>
              <w:top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湿拌</w:t>
            </w:r>
          </w:p>
          <w:p>
            <w:pPr>
              <w:spacing w:line="240" w:lineRule="auto"/>
              <w:jc w:val="center"/>
              <w:rPr>
                <w:rFonts w:ascii="Times New Roman" w:hAnsi="Times New Roman"/>
                <w:sz w:val="18"/>
                <w:szCs w:val="18"/>
              </w:rPr>
            </w:pPr>
            <w:r>
              <w:rPr>
                <w:rFonts w:hint="eastAsia" w:ascii="Times New Roman" w:hAnsi="Times New Roman"/>
                <w:sz w:val="18"/>
                <w:szCs w:val="18"/>
              </w:rPr>
              <w:t>砌筑砂浆</w:t>
            </w:r>
          </w:p>
        </w:tc>
        <w:tc>
          <w:tcPr>
            <w:tcW w:w="1762" w:type="pct"/>
            <w:gridSpan w:val="3"/>
            <w:tcBorders>
              <w:top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湿拌抹灰砂浆</w:t>
            </w:r>
          </w:p>
        </w:tc>
        <w:tc>
          <w:tcPr>
            <w:tcW w:w="609" w:type="pct"/>
            <w:vMerge w:val="restart"/>
            <w:tcBorders>
              <w:top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湿拌</w:t>
            </w:r>
          </w:p>
          <w:p>
            <w:pPr>
              <w:spacing w:line="240" w:lineRule="auto"/>
              <w:jc w:val="center"/>
              <w:rPr>
                <w:rFonts w:ascii="Times New Roman" w:hAnsi="Times New Roman"/>
                <w:sz w:val="18"/>
                <w:szCs w:val="18"/>
              </w:rPr>
            </w:pPr>
            <w:r>
              <w:rPr>
                <w:rFonts w:hint="eastAsia" w:ascii="Times New Roman" w:hAnsi="Times New Roman"/>
                <w:sz w:val="18"/>
                <w:szCs w:val="18"/>
              </w:rPr>
              <w:t>地面砂浆</w:t>
            </w:r>
          </w:p>
        </w:tc>
        <w:tc>
          <w:tcPr>
            <w:tcW w:w="647" w:type="pct"/>
            <w:vMerge w:val="restart"/>
            <w:tcBorders>
              <w:top w:val="single" w:color="000000" w:sz="12" w:space="0"/>
              <w:right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湿拌</w:t>
            </w:r>
          </w:p>
          <w:p>
            <w:pPr>
              <w:spacing w:line="240" w:lineRule="auto"/>
              <w:jc w:val="center"/>
              <w:rPr>
                <w:rFonts w:ascii="Times New Roman" w:hAnsi="Times New Roman"/>
                <w:sz w:val="18"/>
                <w:szCs w:val="18"/>
              </w:rPr>
            </w:pPr>
            <w:r>
              <w:rPr>
                <w:rFonts w:hint="eastAsia" w:ascii="Times New Roman" w:hAnsi="Times New Roman"/>
                <w:sz w:val="18"/>
                <w:szCs w:val="18"/>
              </w:rPr>
              <w:t>防水砂浆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390" w:type="pct"/>
            <w:gridSpan w:val="2"/>
            <w:vMerge w:val="continue"/>
            <w:tcBorders>
              <w:left w:val="single" w:color="000000" w:sz="12" w:space="0"/>
              <w:bottom w:val="single" w:color="000000" w:sz="12" w:space="0"/>
            </w:tcBorders>
            <w:shd w:val="clear" w:color="auto" w:fill="auto"/>
            <w:vAlign w:val="center"/>
          </w:tcPr>
          <w:p>
            <w:pPr>
              <w:spacing w:line="240" w:lineRule="auto"/>
              <w:jc w:val="center"/>
              <w:rPr>
                <w:rFonts w:ascii="Times New Roman" w:hAnsi="Times New Roman"/>
                <w:sz w:val="18"/>
                <w:szCs w:val="18"/>
              </w:rPr>
            </w:pPr>
          </w:p>
        </w:tc>
        <w:tc>
          <w:tcPr>
            <w:tcW w:w="592" w:type="pct"/>
            <w:vMerge w:val="continue"/>
            <w:tcBorders>
              <w:bottom w:val="single" w:color="000000" w:sz="12" w:space="0"/>
            </w:tcBorders>
            <w:shd w:val="clear" w:color="auto" w:fill="auto"/>
            <w:vAlign w:val="center"/>
          </w:tcPr>
          <w:p>
            <w:pPr>
              <w:spacing w:line="240" w:lineRule="auto"/>
              <w:jc w:val="center"/>
              <w:rPr>
                <w:rFonts w:ascii="Times New Roman" w:hAnsi="Times New Roman"/>
                <w:sz w:val="18"/>
                <w:szCs w:val="18"/>
              </w:rPr>
            </w:pPr>
          </w:p>
        </w:tc>
        <w:tc>
          <w:tcPr>
            <w:tcW w:w="966" w:type="pct"/>
            <w:gridSpan w:val="2"/>
            <w:tcBorders>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普通抹灰砂浆</w:t>
            </w:r>
          </w:p>
        </w:tc>
        <w:tc>
          <w:tcPr>
            <w:tcW w:w="796" w:type="pct"/>
            <w:tcBorders>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机喷抹灰砂浆</w:t>
            </w:r>
          </w:p>
        </w:tc>
        <w:tc>
          <w:tcPr>
            <w:tcW w:w="609" w:type="pct"/>
            <w:vMerge w:val="continue"/>
            <w:tcBorders>
              <w:bottom w:val="single" w:color="000000" w:sz="12" w:space="0"/>
            </w:tcBorders>
            <w:shd w:val="clear" w:color="auto" w:fill="auto"/>
            <w:vAlign w:val="center"/>
          </w:tcPr>
          <w:p>
            <w:pPr>
              <w:spacing w:line="240" w:lineRule="auto"/>
              <w:jc w:val="center"/>
              <w:rPr>
                <w:rFonts w:ascii="Times New Roman" w:hAnsi="Times New Roman"/>
                <w:sz w:val="18"/>
                <w:szCs w:val="18"/>
              </w:rPr>
            </w:pPr>
          </w:p>
        </w:tc>
        <w:tc>
          <w:tcPr>
            <w:tcW w:w="647" w:type="pct"/>
            <w:vMerge w:val="continue"/>
            <w:tcBorders>
              <w:bottom w:val="single" w:color="000000" w:sz="12" w:space="0"/>
              <w:right w:val="single" w:color="000000" w:sz="12"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390" w:type="pct"/>
            <w:gridSpan w:val="2"/>
            <w:tcBorders>
              <w:top w:val="single" w:color="000000" w:sz="12" w:space="0"/>
              <w:left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稠度/mm</w:t>
            </w:r>
          </w:p>
        </w:tc>
        <w:tc>
          <w:tcPr>
            <w:tcW w:w="3610" w:type="pct"/>
            <w:gridSpan w:val="6"/>
            <w:tcBorders>
              <w:top w:val="single" w:color="000000" w:sz="12" w:space="0"/>
              <w:right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满足设计要求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390" w:type="pct"/>
            <w:gridSpan w:val="2"/>
            <w:tcBorders>
              <w:left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保水率/</w:t>
            </w:r>
            <w:r>
              <w:rPr>
                <w:rFonts w:ascii="Times New Roman" w:hAnsi="Times New Roman"/>
                <w:sz w:val="18"/>
                <w:szCs w:val="18"/>
              </w:rPr>
              <w:t>%</w:t>
            </w:r>
          </w:p>
        </w:tc>
        <w:tc>
          <w:tcPr>
            <w:tcW w:w="592"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r>
              <w:rPr>
                <w:rFonts w:ascii="Times New Roman" w:hAnsi="Times New Roman"/>
                <w:sz w:val="18"/>
                <w:szCs w:val="18"/>
              </w:rPr>
              <w:t>88.0</w:t>
            </w:r>
          </w:p>
        </w:tc>
        <w:tc>
          <w:tcPr>
            <w:tcW w:w="966" w:type="pct"/>
            <w:gridSpan w:val="2"/>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r>
              <w:rPr>
                <w:rFonts w:ascii="Times New Roman" w:hAnsi="Times New Roman"/>
                <w:sz w:val="18"/>
                <w:szCs w:val="18"/>
              </w:rPr>
              <w:t>88.0</w:t>
            </w:r>
          </w:p>
        </w:tc>
        <w:tc>
          <w:tcPr>
            <w:tcW w:w="796"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r>
              <w:rPr>
                <w:rFonts w:ascii="Times New Roman" w:hAnsi="Times New Roman"/>
                <w:sz w:val="18"/>
                <w:szCs w:val="18"/>
              </w:rPr>
              <w:t>92.0</w:t>
            </w:r>
          </w:p>
        </w:tc>
        <w:tc>
          <w:tcPr>
            <w:tcW w:w="609"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r>
              <w:rPr>
                <w:rFonts w:ascii="Times New Roman" w:hAnsi="Times New Roman"/>
                <w:sz w:val="18"/>
                <w:szCs w:val="18"/>
              </w:rPr>
              <w:t>88.0</w:t>
            </w:r>
          </w:p>
        </w:tc>
        <w:tc>
          <w:tcPr>
            <w:tcW w:w="647" w:type="pct"/>
            <w:tcBorders>
              <w:right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r>
              <w:rPr>
                <w:rFonts w:ascii="Times New Roman" w:hAnsi="Times New Roman"/>
                <w:sz w:val="18"/>
                <w:szCs w:val="18"/>
              </w:rPr>
              <w:t>88.0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390" w:type="pct"/>
            <w:gridSpan w:val="2"/>
            <w:tcBorders>
              <w:left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压力泌水率/</w:t>
            </w:r>
            <w:r>
              <w:rPr>
                <w:rFonts w:ascii="Times New Roman" w:hAnsi="Times New Roman"/>
                <w:sz w:val="18"/>
                <w:szCs w:val="18"/>
              </w:rPr>
              <w:t>%</w:t>
            </w:r>
          </w:p>
        </w:tc>
        <w:tc>
          <w:tcPr>
            <w:tcW w:w="592"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p>
        </w:tc>
        <w:tc>
          <w:tcPr>
            <w:tcW w:w="966" w:type="pct"/>
            <w:gridSpan w:val="2"/>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96"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&lt;</w:t>
            </w:r>
            <w:r>
              <w:rPr>
                <w:rFonts w:ascii="Times New Roman" w:hAnsi="Times New Roman"/>
                <w:sz w:val="18"/>
                <w:szCs w:val="18"/>
              </w:rPr>
              <w:t>40</w:t>
            </w:r>
          </w:p>
        </w:tc>
        <w:tc>
          <w:tcPr>
            <w:tcW w:w="609"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p>
        </w:tc>
        <w:tc>
          <w:tcPr>
            <w:tcW w:w="647" w:type="pct"/>
            <w:tcBorders>
              <w:right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390" w:type="pct"/>
            <w:gridSpan w:val="2"/>
            <w:tcBorders>
              <w:left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28d抗压强度/MPa</w:t>
            </w:r>
          </w:p>
        </w:tc>
        <w:tc>
          <w:tcPr>
            <w:tcW w:w="3610" w:type="pct"/>
            <w:gridSpan w:val="6"/>
            <w:tcBorders>
              <w:right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不小于砂浆强度等级对应的立方体抗压强度标准值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390" w:type="pct"/>
            <w:gridSpan w:val="2"/>
            <w:vMerge w:val="restart"/>
            <w:tcBorders>
              <w:left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4</w:t>
            </w:r>
            <w:r>
              <w:rPr>
                <w:rFonts w:hint="eastAsia" w:ascii="Times New Roman" w:hAnsi="Times New Roman"/>
                <w:sz w:val="18"/>
                <w:szCs w:val="18"/>
              </w:rPr>
              <w:t>d拉伸粘结强度/</w:t>
            </w:r>
            <w:r>
              <w:rPr>
                <w:rFonts w:ascii="Times New Roman" w:hAnsi="Times New Roman"/>
                <w:sz w:val="18"/>
                <w:szCs w:val="18"/>
              </w:rPr>
              <w:t>MPa</w:t>
            </w:r>
          </w:p>
        </w:tc>
        <w:tc>
          <w:tcPr>
            <w:tcW w:w="592" w:type="pct"/>
            <w:vMerge w:val="restar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p>
        </w:tc>
        <w:tc>
          <w:tcPr>
            <w:tcW w:w="444"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M5</w:t>
            </w:r>
          </w:p>
        </w:tc>
        <w:tc>
          <w:tcPr>
            <w:tcW w:w="522"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≥0.15</w:t>
            </w:r>
          </w:p>
        </w:tc>
        <w:tc>
          <w:tcPr>
            <w:tcW w:w="796" w:type="pct"/>
            <w:vMerge w:val="restar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r>
              <w:rPr>
                <w:rFonts w:ascii="Times New Roman" w:hAnsi="Times New Roman"/>
                <w:sz w:val="18"/>
                <w:szCs w:val="18"/>
              </w:rPr>
              <w:t>0.2</w:t>
            </w:r>
            <w:r>
              <w:rPr>
                <w:rFonts w:hint="eastAsia" w:ascii="Times New Roman" w:hAnsi="Times New Roman"/>
                <w:sz w:val="18"/>
                <w:szCs w:val="18"/>
              </w:rPr>
              <w:t>0</w:t>
            </w:r>
          </w:p>
        </w:tc>
        <w:tc>
          <w:tcPr>
            <w:tcW w:w="609" w:type="pct"/>
            <w:vMerge w:val="restar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p>
        </w:tc>
        <w:tc>
          <w:tcPr>
            <w:tcW w:w="647" w:type="pct"/>
            <w:vMerge w:val="restart"/>
            <w:tcBorders>
              <w:right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r>
              <w:rPr>
                <w:rFonts w:ascii="Times New Roman" w:hAnsi="Times New Roman"/>
                <w:sz w:val="18"/>
                <w:szCs w:val="18"/>
              </w:rPr>
              <w:t>0.2</w:t>
            </w:r>
            <w:r>
              <w:rPr>
                <w:rFonts w:hint="eastAsia" w:ascii="Times New Roman" w:hAnsi="Times New Roman"/>
                <w:sz w:val="18"/>
                <w:szCs w:val="18"/>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390" w:type="pct"/>
            <w:gridSpan w:val="2"/>
            <w:vMerge w:val="continue"/>
            <w:tcBorders>
              <w:left w:val="single" w:color="000000" w:sz="12" w:space="0"/>
            </w:tcBorders>
            <w:shd w:val="clear" w:color="auto" w:fill="auto"/>
            <w:vAlign w:val="center"/>
          </w:tcPr>
          <w:p>
            <w:pPr>
              <w:spacing w:line="240" w:lineRule="auto"/>
              <w:jc w:val="center"/>
              <w:rPr>
                <w:rFonts w:ascii="Times New Roman" w:hAnsi="Times New Roman"/>
                <w:sz w:val="18"/>
                <w:szCs w:val="18"/>
              </w:rPr>
            </w:pPr>
          </w:p>
        </w:tc>
        <w:tc>
          <w:tcPr>
            <w:tcW w:w="592" w:type="pct"/>
            <w:vMerge w:val="continue"/>
            <w:shd w:val="clear" w:color="auto" w:fill="auto"/>
            <w:vAlign w:val="center"/>
          </w:tcPr>
          <w:p>
            <w:pPr>
              <w:spacing w:line="240" w:lineRule="auto"/>
              <w:jc w:val="center"/>
              <w:rPr>
                <w:rFonts w:ascii="Times New Roman" w:hAnsi="Times New Roman"/>
                <w:sz w:val="18"/>
                <w:szCs w:val="18"/>
              </w:rPr>
            </w:pPr>
          </w:p>
        </w:tc>
        <w:tc>
          <w:tcPr>
            <w:tcW w:w="444"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大于M5</w:t>
            </w:r>
          </w:p>
        </w:tc>
        <w:tc>
          <w:tcPr>
            <w:tcW w:w="522"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≥0.20</w:t>
            </w:r>
          </w:p>
        </w:tc>
        <w:tc>
          <w:tcPr>
            <w:tcW w:w="796" w:type="pct"/>
            <w:vMerge w:val="continue"/>
            <w:shd w:val="clear" w:color="auto" w:fill="auto"/>
            <w:vAlign w:val="center"/>
          </w:tcPr>
          <w:p>
            <w:pPr>
              <w:spacing w:line="240" w:lineRule="auto"/>
              <w:jc w:val="center"/>
              <w:rPr>
                <w:rFonts w:ascii="Times New Roman" w:hAnsi="Times New Roman"/>
                <w:sz w:val="18"/>
                <w:szCs w:val="18"/>
              </w:rPr>
            </w:pPr>
          </w:p>
        </w:tc>
        <w:tc>
          <w:tcPr>
            <w:tcW w:w="609" w:type="pct"/>
            <w:vMerge w:val="continue"/>
            <w:shd w:val="clear" w:color="auto" w:fill="auto"/>
            <w:vAlign w:val="center"/>
          </w:tcPr>
          <w:p>
            <w:pPr>
              <w:spacing w:line="240" w:lineRule="auto"/>
              <w:jc w:val="center"/>
              <w:rPr>
                <w:rFonts w:ascii="Times New Roman" w:hAnsi="Times New Roman"/>
                <w:sz w:val="18"/>
                <w:szCs w:val="18"/>
              </w:rPr>
            </w:pPr>
          </w:p>
        </w:tc>
        <w:tc>
          <w:tcPr>
            <w:tcW w:w="647" w:type="pct"/>
            <w:vMerge w:val="continue"/>
            <w:tcBorders>
              <w:right w:val="single" w:color="000000" w:sz="12"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390" w:type="pct"/>
            <w:gridSpan w:val="2"/>
            <w:tcBorders>
              <w:left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2</w:t>
            </w:r>
            <w:r>
              <w:rPr>
                <w:rFonts w:ascii="Times New Roman" w:hAnsi="Times New Roman"/>
                <w:sz w:val="18"/>
                <w:szCs w:val="18"/>
              </w:rPr>
              <w:t>8</w:t>
            </w:r>
            <w:r>
              <w:rPr>
                <w:rFonts w:hint="eastAsia" w:ascii="Times New Roman" w:hAnsi="Times New Roman"/>
                <w:sz w:val="18"/>
                <w:szCs w:val="18"/>
              </w:rPr>
              <w:t>d收缩率/%</w:t>
            </w:r>
          </w:p>
        </w:tc>
        <w:tc>
          <w:tcPr>
            <w:tcW w:w="592"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p>
        </w:tc>
        <w:tc>
          <w:tcPr>
            <w:tcW w:w="1762" w:type="pct"/>
            <w:gridSpan w:val="3"/>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r>
              <w:rPr>
                <w:rFonts w:ascii="Times New Roman" w:hAnsi="Times New Roman"/>
                <w:sz w:val="18"/>
                <w:szCs w:val="18"/>
              </w:rPr>
              <w:t>0.15</w:t>
            </w:r>
          </w:p>
        </w:tc>
        <w:tc>
          <w:tcPr>
            <w:tcW w:w="609"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p>
        </w:tc>
        <w:tc>
          <w:tcPr>
            <w:tcW w:w="647" w:type="pct"/>
            <w:tcBorders>
              <w:right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r>
              <w:rPr>
                <w:rFonts w:ascii="Times New Roman" w:hAnsi="Times New Roman"/>
                <w:sz w:val="18"/>
                <w:szCs w:val="18"/>
              </w:rPr>
              <w:t>0.15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390" w:type="pct"/>
            <w:gridSpan w:val="2"/>
            <w:tcBorders>
              <w:left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28d抗渗压力/MPa</w:t>
            </w:r>
          </w:p>
        </w:tc>
        <w:tc>
          <w:tcPr>
            <w:tcW w:w="592"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p>
        </w:tc>
        <w:tc>
          <w:tcPr>
            <w:tcW w:w="1762" w:type="pct"/>
            <w:gridSpan w:val="3"/>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p>
        </w:tc>
        <w:tc>
          <w:tcPr>
            <w:tcW w:w="609"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p>
        </w:tc>
        <w:tc>
          <w:tcPr>
            <w:tcW w:w="647" w:type="pct"/>
            <w:tcBorders>
              <w:right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不小于砂浆抗渗等级对应的压力值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645" w:type="pct"/>
            <w:vMerge w:val="restart"/>
            <w:tcBorders>
              <w:left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抗冻性</w:t>
            </w:r>
            <w:r>
              <w:rPr>
                <w:rFonts w:ascii="Cambria Math" w:hAnsi="Cambria Math" w:cs="Cambria Math"/>
                <w:sz w:val="18"/>
                <w:szCs w:val="18"/>
                <w:vertAlign w:val="superscript"/>
              </w:rPr>
              <w:t>a</w:t>
            </w:r>
          </w:p>
        </w:tc>
        <w:tc>
          <w:tcPr>
            <w:tcW w:w="745"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强度损失率/</w:t>
            </w:r>
            <w:r>
              <w:rPr>
                <w:rFonts w:ascii="Times New Roman" w:hAnsi="Times New Roman"/>
                <w:sz w:val="18"/>
                <w:szCs w:val="18"/>
              </w:rPr>
              <w:t>%</w:t>
            </w:r>
          </w:p>
        </w:tc>
        <w:tc>
          <w:tcPr>
            <w:tcW w:w="3610" w:type="pct"/>
            <w:gridSpan w:val="6"/>
            <w:tcBorders>
              <w:right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r>
              <w:rPr>
                <w:rFonts w:ascii="Times New Roman" w:hAnsi="Times New Roman"/>
                <w:sz w:val="18"/>
                <w:szCs w:val="18"/>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645" w:type="pct"/>
            <w:vMerge w:val="continue"/>
            <w:tcBorders>
              <w:left w:val="single" w:color="000000" w:sz="12" w:space="0"/>
              <w:bottom w:val="single" w:color="000000" w:sz="12" w:space="0"/>
            </w:tcBorders>
            <w:shd w:val="clear" w:color="auto" w:fill="auto"/>
            <w:vAlign w:val="center"/>
          </w:tcPr>
          <w:p>
            <w:pPr>
              <w:spacing w:line="240" w:lineRule="auto"/>
              <w:jc w:val="center"/>
              <w:rPr>
                <w:rFonts w:ascii="Times New Roman" w:hAnsi="Times New Roman"/>
                <w:sz w:val="18"/>
                <w:szCs w:val="18"/>
              </w:rPr>
            </w:pPr>
          </w:p>
        </w:tc>
        <w:tc>
          <w:tcPr>
            <w:tcW w:w="745" w:type="pct"/>
            <w:tcBorders>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质量损失率/%</w:t>
            </w:r>
          </w:p>
        </w:tc>
        <w:tc>
          <w:tcPr>
            <w:tcW w:w="3610" w:type="pct"/>
            <w:gridSpan w:val="6"/>
            <w:tcBorders>
              <w:bottom w:val="single" w:color="000000" w:sz="12" w:space="0"/>
              <w:right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r>
              <w:rPr>
                <w:rFonts w:ascii="Times New Roman" w:hAnsi="Times New Roman"/>
                <w:sz w:val="18"/>
                <w:szCs w:val="18"/>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000" w:type="pct"/>
            <w:gridSpan w:val="8"/>
            <w:tcBorders>
              <w:top w:val="single" w:color="000000" w:sz="12" w:space="0"/>
              <w:left w:val="single" w:color="000000" w:sz="12" w:space="0"/>
              <w:bottom w:val="single" w:color="000000" w:sz="12" w:space="0"/>
              <w:right w:val="single" w:color="000000" w:sz="12" w:space="0"/>
            </w:tcBorders>
            <w:shd w:val="clear" w:color="auto" w:fill="auto"/>
            <w:vAlign w:val="center"/>
          </w:tcPr>
          <w:p>
            <w:pPr>
              <w:spacing w:line="240" w:lineRule="auto"/>
              <w:ind w:left="849" w:leftChars="203" w:hanging="423" w:hangingChars="235"/>
              <w:jc w:val="left"/>
              <w:rPr>
                <w:rFonts w:ascii="Times New Roman" w:hAnsi="Times New Roman"/>
                <w:sz w:val="18"/>
                <w:szCs w:val="18"/>
              </w:rPr>
            </w:pPr>
            <w:r>
              <w:rPr>
                <w:rFonts w:ascii="Times New Roman" w:hAnsi="Times New Roman"/>
                <w:sz w:val="18"/>
                <w:szCs w:val="18"/>
                <w:vertAlign w:val="superscript"/>
              </w:rPr>
              <w:t>a</w:t>
            </w:r>
            <w:r>
              <w:rPr>
                <w:rFonts w:hint="eastAsia" w:ascii="Times New Roman" w:hAnsi="Times New Roman"/>
                <w:sz w:val="18"/>
                <w:szCs w:val="18"/>
                <w:vertAlign w:val="superscript"/>
              </w:rPr>
              <w:t xml:space="preserve">     </w:t>
            </w:r>
            <w:r>
              <w:rPr>
                <w:rFonts w:ascii="Times New Roman" w:hAnsi="Times New Roman"/>
                <w:sz w:val="18"/>
                <w:szCs w:val="18"/>
              </w:rPr>
              <w:t>有抗冻要求时，应参照《建筑砂浆基本性能试验方法》JGJ/T 70进行抗冻性能试验，夏热冬冷地区为25次，</w:t>
            </w:r>
            <w:r>
              <w:rPr>
                <w:rFonts w:hint="eastAsia" w:ascii="Times New Roman" w:hAnsi="Times New Roman"/>
                <w:sz w:val="18"/>
                <w:szCs w:val="18"/>
              </w:rPr>
              <w:t>寒</w:t>
            </w:r>
            <w:r>
              <w:rPr>
                <w:rFonts w:ascii="Times New Roman" w:hAnsi="Times New Roman"/>
                <w:sz w:val="18"/>
                <w:szCs w:val="18"/>
              </w:rPr>
              <w:t>冷地区为35次。</w:t>
            </w:r>
          </w:p>
        </w:tc>
      </w:tr>
    </w:tbl>
    <w:p>
      <w:pPr>
        <w:pStyle w:val="166"/>
        <w:numPr>
          <w:ilvl w:val="0"/>
          <w:numId w:val="0"/>
        </w:numPr>
        <w:spacing w:before="156" w:beforeLines="50" w:after="156" w:afterLines="50"/>
        <w:jc w:val="center"/>
        <w:rPr>
          <w:rFonts w:ascii="Times New Roman" w:eastAsia="黑体"/>
          <w:szCs w:val="21"/>
        </w:rPr>
      </w:pPr>
      <w:r>
        <w:rPr>
          <w:rFonts w:ascii="Times New Roman" w:eastAsia="黑体"/>
          <w:szCs w:val="21"/>
        </w:rPr>
        <w:t>表7 湿拌砂浆保塑时间（h）</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94"/>
        <w:gridCol w:w="1594"/>
        <w:gridCol w:w="1594"/>
        <w:gridCol w:w="1594"/>
        <w:gridCol w:w="1597"/>
        <w:gridCol w:w="15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833" w:type="pct"/>
            <w:tcBorders>
              <w:top w:val="single" w:color="000000" w:sz="12" w:space="0"/>
              <w:left w:val="single" w:color="000000" w:sz="12" w:space="0"/>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保塑时间</w:t>
            </w:r>
          </w:p>
        </w:tc>
        <w:tc>
          <w:tcPr>
            <w:tcW w:w="833" w:type="pct"/>
            <w:tcBorders>
              <w:top w:val="single" w:color="000000" w:sz="12" w:space="0"/>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4</w:t>
            </w:r>
          </w:p>
        </w:tc>
        <w:tc>
          <w:tcPr>
            <w:tcW w:w="833" w:type="pct"/>
            <w:tcBorders>
              <w:top w:val="single" w:color="000000" w:sz="12" w:space="0"/>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6</w:t>
            </w:r>
          </w:p>
        </w:tc>
        <w:tc>
          <w:tcPr>
            <w:tcW w:w="833" w:type="pct"/>
            <w:tcBorders>
              <w:top w:val="single" w:color="000000" w:sz="12" w:space="0"/>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8</w:t>
            </w:r>
          </w:p>
        </w:tc>
        <w:tc>
          <w:tcPr>
            <w:tcW w:w="834" w:type="pct"/>
            <w:tcBorders>
              <w:top w:val="single" w:color="000000" w:sz="12" w:space="0"/>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2</w:t>
            </w:r>
          </w:p>
        </w:tc>
        <w:tc>
          <w:tcPr>
            <w:tcW w:w="834" w:type="pct"/>
            <w:tcBorders>
              <w:top w:val="single" w:color="000000" w:sz="12" w:space="0"/>
              <w:bottom w:val="single" w:color="000000" w:sz="12" w:space="0"/>
              <w:right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2</w:t>
            </w:r>
            <w:r>
              <w:rPr>
                <w:rFonts w:ascii="Times New Roman" w:hAnsi="Times New Roman"/>
                <w:sz w:val="18"/>
                <w:szCs w:val="18"/>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833" w:type="pct"/>
            <w:tcBorders>
              <w:top w:val="single" w:color="000000" w:sz="12" w:space="0"/>
              <w:left w:val="single" w:color="000000" w:sz="12" w:space="0"/>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实测值</w:t>
            </w:r>
          </w:p>
        </w:tc>
        <w:tc>
          <w:tcPr>
            <w:tcW w:w="833" w:type="pct"/>
            <w:tcBorders>
              <w:top w:val="single" w:color="000000" w:sz="12" w:space="0"/>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≥4</w:t>
            </w:r>
          </w:p>
        </w:tc>
        <w:tc>
          <w:tcPr>
            <w:tcW w:w="833" w:type="pct"/>
            <w:tcBorders>
              <w:top w:val="single" w:color="000000" w:sz="12" w:space="0"/>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≥6</w:t>
            </w:r>
          </w:p>
        </w:tc>
        <w:tc>
          <w:tcPr>
            <w:tcW w:w="833" w:type="pct"/>
            <w:tcBorders>
              <w:top w:val="single" w:color="000000" w:sz="12" w:space="0"/>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≥8</w:t>
            </w:r>
          </w:p>
        </w:tc>
        <w:tc>
          <w:tcPr>
            <w:tcW w:w="834" w:type="pct"/>
            <w:tcBorders>
              <w:top w:val="single" w:color="000000" w:sz="12" w:space="0"/>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2</w:t>
            </w:r>
          </w:p>
        </w:tc>
        <w:tc>
          <w:tcPr>
            <w:tcW w:w="834" w:type="pct"/>
            <w:tcBorders>
              <w:top w:val="single" w:color="000000" w:sz="12" w:space="0"/>
              <w:bottom w:val="single" w:color="000000" w:sz="12" w:space="0"/>
              <w:right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≥2</w:t>
            </w:r>
            <w:r>
              <w:rPr>
                <w:rFonts w:ascii="Times New Roman" w:hAnsi="Times New Roman"/>
                <w:sz w:val="18"/>
                <w:szCs w:val="18"/>
              </w:rPr>
              <w:t>4</w:t>
            </w:r>
          </w:p>
        </w:tc>
      </w:tr>
    </w:tbl>
    <w:p>
      <w:pPr>
        <w:pStyle w:val="166"/>
        <w:numPr>
          <w:ilvl w:val="0"/>
          <w:numId w:val="0"/>
        </w:numPr>
        <w:spacing w:before="156" w:beforeLines="50" w:after="156" w:afterLines="50"/>
        <w:jc w:val="center"/>
        <w:rPr>
          <w:rFonts w:ascii="Times New Roman" w:eastAsia="黑体"/>
          <w:szCs w:val="21"/>
        </w:rPr>
      </w:pPr>
      <w:r>
        <w:rPr>
          <w:rFonts w:ascii="Times New Roman" w:eastAsia="黑体"/>
          <w:szCs w:val="21"/>
        </w:rPr>
        <w:t>表8 湿拌砂浆稠度允许偏差（mm）</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785"/>
        <w:gridCol w:w="47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500" w:type="pct"/>
            <w:tcBorders>
              <w:top w:val="single" w:color="000000" w:sz="12" w:space="0"/>
              <w:left w:val="single" w:color="000000" w:sz="12" w:space="0"/>
              <w:bottom w:val="single" w:color="000000" w:sz="12" w:space="0"/>
              <w:right w:val="single" w:color="auto" w:sz="4"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规定稠度</w:t>
            </w:r>
          </w:p>
        </w:tc>
        <w:tc>
          <w:tcPr>
            <w:tcW w:w="2500" w:type="pct"/>
            <w:tcBorders>
              <w:top w:val="single" w:color="000000" w:sz="12" w:space="0"/>
              <w:bottom w:val="single" w:color="000000" w:sz="12" w:space="0"/>
              <w:right w:val="single" w:color="000000" w:sz="12"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允许偏差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500" w:type="pct"/>
            <w:tcBorders>
              <w:top w:val="single" w:color="000000" w:sz="12" w:space="0"/>
              <w:left w:val="single" w:color="000000" w:sz="12" w:space="0"/>
              <w:bottom w:val="single" w:color="000000" w:sz="4"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&lt;</w:t>
            </w:r>
            <w:r>
              <w:rPr>
                <w:rFonts w:ascii="Times New Roman" w:hAnsi="Times New Roman"/>
                <w:sz w:val="18"/>
                <w:szCs w:val="18"/>
              </w:rPr>
              <w:t>100</w:t>
            </w:r>
          </w:p>
        </w:tc>
        <w:tc>
          <w:tcPr>
            <w:tcW w:w="2500" w:type="pct"/>
            <w:tcBorders>
              <w:top w:val="single" w:color="000000" w:sz="12" w:space="0"/>
              <w:bottom w:val="single" w:color="000000" w:sz="4" w:space="0"/>
              <w:right w:val="single" w:color="000000" w:sz="12"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r>
              <w:rPr>
                <w:rFonts w:ascii="Times New Roman" w:hAnsi="Times New Roman"/>
                <w:sz w:val="18"/>
                <w:szCs w:val="18"/>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500" w:type="pct"/>
            <w:tcBorders>
              <w:left w:val="single" w:color="000000" w:sz="12" w:space="0"/>
              <w:bottom w:val="single" w:color="000000" w:sz="12"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00</w:t>
            </w:r>
          </w:p>
        </w:tc>
        <w:tc>
          <w:tcPr>
            <w:tcW w:w="2500" w:type="pct"/>
            <w:tcBorders>
              <w:bottom w:val="single" w:color="000000" w:sz="12" w:space="0"/>
              <w:right w:val="single" w:color="000000" w:sz="12"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w:t>
            </w:r>
            <w:r>
              <w:rPr>
                <w:rFonts w:ascii="Times New Roman" w:hAnsi="Times New Roman"/>
                <w:sz w:val="18"/>
                <w:szCs w:val="18"/>
              </w:rPr>
              <w:t>10~+5</w:t>
            </w:r>
          </w:p>
        </w:tc>
      </w:tr>
    </w:tbl>
    <w:p>
      <w:pPr>
        <w:pStyle w:val="166"/>
        <w:spacing w:before="312" w:beforeLines="100"/>
        <w:rPr>
          <w:rFonts w:ascii="Times New Roman"/>
          <w:szCs w:val="21"/>
        </w:rPr>
      </w:pPr>
      <w:r>
        <w:rPr>
          <w:rFonts w:ascii="Times New Roman"/>
          <w:szCs w:val="21"/>
        </w:rPr>
        <w:t>机喷抹灰砂浆性能除应分别符合表</w:t>
      </w:r>
      <w:r>
        <w:rPr>
          <w:rFonts w:hint="eastAsia" w:ascii="Times New Roman"/>
          <w:szCs w:val="21"/>
        </w:rPr>
        <w:t>5</w:t>
      </w:r>
      <w:r>
        <w:rPr>
          <w:rFonts w:ascii="Times New Roman"/>
          <w:szCs w:val="21"/>
        </w:rPr>
        <w:t>、表</w:t>
      </w:r>
      <w:r>
        <w:rPr>
          <w:rFonts w:hint="eastAsia" w:ascii="Times New Roman"/>
          <w:szCs w:val="21"/>
        </w:rPr>
        <w:t>6</w:t>
      </w:r>
      <w:r>
        <w:rPr>
          <w:rFonts w:ascii="Times New Roman"/>
          <w:szCs w:val="21"/>
        </w:rPr>
        <w:t>中对应品</w:t>
      </w:r>
      <w:r>
        <w:rPr>
          <w:rFonts w:hint="eastAsia" w:ascii="Times New Roman"/>
          <w:szCs w:val="21"/>
        </w:rPr>
        <w:t>种</w:t>
      </w:r>
      <w:r>
        <w:rPr>
          <w:rFonts w:ascii="Times New Roman"/>
          <w:szCs w:val="21"/>
        </w:rPr>
        <w:t>的机喷抹灰砂浆的</w:t>
      </w:r>
      <w:r>
        <w:rPr>
          <w:rFonts w:hint="eastAsia" w:ascii="Times New Roman"/>
          <w:szCs w:val="21"/>
        </w:rPr>
        <w:t>规定</w:t>
      </w:r>
      <w:r>
        <w:rPr>
          <w:rFonts w:ascii="Times New Roman"/>
          <w:szCs w:val="21"/>
        </w:rPr>
        <w:t>外，还应符合表</w:t>
      </w:r>
      <w:r>
        <w:rPr>
          <w:rFonts w:hint="eastAsia" w:ascii="Times New Roman"/>
          <w:szCs w:val="21"/>
        </w:rPr>
        <w:t>9</w:t>
      </w:r>
      <w:r>
        <w:rPr>
          <w:rFonts w:ascii="Times New Roman"/>
          <w:szCs w:val="21"/>
        </w:rPr>
        <w:t>的</w:t>
      </w:r>
      <w:r>
        <w:rPr>
          <w:rFonts w:hint="eastAsia" w:ascii="Times New Roman"/>
          <w:szCs w:val="21"/>
        </w:rPr>
        <w:t>规定</w:t>
      </w:r>
      <w:r>
        <w:rPr>
          <w:rFonts w:ascii="Times New Roman"/>
          <w:szCs w:val="21"/>
        </w:rPr>
        <w:t>。</w:t>
      </w:r>
    </w:p>
    <w:p>
      <w:pPr>
        <w:pStyle w:val="166"/>
        <w:numPr>
          <w:ilvl w:val="0"/>
          <w:numId w:val="0"/>
        </w:numPr>
        <w:spacing w:before="156" w:beforeLines="50" w:after="156" w:afterLines="50"/>
        <w:jc w:val="center"/>
        <w:rPr>
          <w:rFonts w:ascii="Times New Roman" w:eastAsia="黑体"/>
          <w:szCs w:val="21"/>
        </w:rPr>
      </w:pPr>
      <w:r>
        <w:rPr>
          <w:rFonts w:hint="eastAsia" w:ascii="Times New Roman" w:eastAsia="黑体"/>
          <w:szCs w:val="21"/>
        </w:rPr>
        <w:t>表9</w:t>
      </w:r>
      <w:r>
        <w:rPr>
          <w:rFonts w:ascii="Times New Roman" w:eastAsia="黑体"/>
          <w:szCs w:val="21"/>
        </w:rPr>
        <w:t xml:space="preserve"> </w:t>
      </w:r>
      <w:r>
        <w:rPr>
          <w:rFonts w:hint="eastAsia" w:ascii="Times New Roman" w:eastAsia="黑体"/>
          <w:szCs w:val="21"/>
        </w:rPr>
        <w:t>机喷抹灰砂浆性能指标</w:t>
      </w:r>
    </w:p>
    <w:tbl>
      <w:tblPr>
        <w:tblStyle w:val="27"/>
        <w:tblW w:w="4971"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757"/>
        <w:gridCol w:w="47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500" w:type="pct"/>
            <w:tcBorders>
              <w:top w:val="single" w:color="000000" w:sz="12" w:space="0"/>
              <w:left w:val="single" w:color="000000" w:sz="12" w:space="0"/>
              <w:bottom w:val="single" w:color="000000" w:sz="12" w:space="0"/>
              <w:right w:val="single" w:color="auto" w:sz="4"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项目</w:t>
            </w:r>
          </w:p>
        </w:tc>
        <w:tc>
          <w:tcPr>
            <w:tcW w:w="2500" w:type="pct"/>
            <w:tcBorders>
              <w:top w:val="single" w:color="000000" w:sz="12" w:space="0"/>
              <w:bottom w:val="single" w:color="000000" w:sz="12" w:space="0"/>
              <w:right w:val="single" w:color="000000" w:sz="12"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性能指标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500" w:type="pct"/>
            <w:tcBorders>
              <w:top w:val="single" w:color="000000" w:sz="12" w:space="0"/>
              <w:left w:val="single" w:color="000000" w:sz="12" w:space="0"/>
              <w:bottom w:val="single" w:color="000000" w:sz="4"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入泵砂浆稠度/</w:t>
            </w:r>
            <w:r>
              <w:rPr>
                <w:rFonts w:ascii="Times New Roman" w:hAnsi="Times New Roman"/>
                <w:sz w:val="18"/>
                <w:szCs w:val="18"/>
              </w:rPr>
              <w:t>mm</w:t>
            </w:r>
          </w:p>
        </w:tc>
        <w:tc>
          <w:tcPr>
            <w:tcW w:w="2500" w:type="pct"/>
            <w:tcBorders>
              <w:top w:val="single" w:color="000000" w:sz="12" w:space="0"/>
              <w:bottom w:val="single" w:color="000000" w:sz="4" w:space="0"/>
              <w:right w:val="single" w:color="000000" w:sz="12"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8</w:t>
            </w:r>
            <w:r>
              <w:rPr>
                <w:rFonts w:ascii="Times New Roman" w:hAnsi="Times New Roman"/>
                <w:sz w:val="18"/>
                <w:szCs w:val="18"/>
              </w:rPr>
              <w:t>0~120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500" w:type="pct"/>
            <w:tcBorders>
              <w:left w:val="single" w:color="000000" w:sz="12" w:space="0"/>
              <w:bottom w:val="single" w:color="000000" w:sz="12"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凝结时间/h</w:t>
            </w:r>
          </w:p>
        </w:tc>
        <w:tc>
          <w:tcPr>
            <w:tcW w:w="2500" w:type="pct"/>
            <w:tcBorders>
              <w:bottom w:val="single" w:color="000000" w:sz="12" w:space="0"/>
              <w:right w:val="single" w:color="000000" w:sz="12"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.5</w:t>
            </w:r>
            <w:r>
              <w:rPr>
                <w:rFonts w:hint="eastAsia" w:ascii="Times New Roman" w:hAnsi="Times New Roman"/>
                <w:sz w:val="18"/>
                <w:szCs w:val="18"/>
              </w:rPr>
              <w:t>倍机械喷涂工艺周期</w:t>
            </w:r>
          </w:p>
        </w:tc>
      </w:tr>
    </w:tbl>
    <w:p>
      <w:pPr>
        <w:pStyle w:val="166"/>
        <w:spacing w:before="312" w:beforeLines="100"/>
        <w:rPr>
          <w:rFonts w:ascii="Times New Roman"/>
          <w:szCs w:val="21"/>
        </w:rPr>
      </w:pPr>
      <w:r>
        <w:rPr>
          <w:rFonts w:hint="eastAsia" w:ascii="Times New Roman"/>
          <w:szCs w:val="21"/>
        </w:rPr>
        <w:t>稠度试验应按《建筑砂浆基本性能试验方法》JGJ</w:t>
      </w:r>
      <w:r>
        <w:rPr>
          <w:rFonts w:ascii="Times New Roman"/>
          <w:szCs w:val="21"/>
        </w:rPr>
        <w:t>/T 70</w:t>
      </w:r>
      <w:r>
        <w:rPr>
          <w:rFonts w:hint="eastAsia" w:ascii="Times New Roman"/>
          <w:szCs w:val="21"/>
        </w:rPr>
        <w:t>的有关规定进行。各项试验时湿拌砂浆按实际稠度或生产厂家推荐配合比进行，干混砂浆的稠度应符合下列规定：</w:t>
      </w:r>
    </w:p>
    <w:p>
      <w:pPr>
        <w:pStyle w:val="166"/>
        <w:numPr>
          <w:ilvl w:val="0"/>
          <w:numId w:val="32"/>
        </w:numPr>
        <w:rPr>
          <w:rFonts w:ascii="Times New Roman"/>
          <w:szCs w:val="21"/>
        </w:rPr>
      </w:pPr>
      <w:r>
        <w:rPr>
          <w:rFonts w:hint="eastAsia" w:ascii="Times New Roman"/>
          <w:szCs w:val="21"/>
        </w:rPr>
        <w:t>砌筑砂浆为（7</w:t>
      </w:r>
      <w:r>
        <w:rPr>
          <w:rFonts w:ascii="Times New Roman"/>
          <w:szCs w:val="21"/>
        </w:rPr>
        <w:t>5</w:t>
      </w:r>
      <w:r>
        <w:rPr>
          <w:rFonts w:hint="eastAsia" w:ascii="Times New Roman"/>
          <w:szCs w:val="21"/>
        </w:rPr>
        <w:t>±</w:t>
      </w:r>
      <w:r>
        <w:rPr>
          <w:rFonts w:ascii="Times New Roman"/>
          <w:szCs w:val="21"/>
        </w:rPr>
        <w:t>5</w:t>
      </w:r>
      <w:r>
        <w:rPr>
          <w:rFonts w:hint="eastAsia" w:ascii="Times New Roman"/>
          <w:szCs w:val="21"/>
        </w:rPr>
        <w:t>）mm；</w:t>
      </w:r>
    </w:p>
    <w:p>
      <w:pPr>
        <w:pStyle w:val="166"/>
        <w:numPr>
          <w:ilvl w:val="0"/>
          <w:numId w:val="32"/>
        </w:numPr>
        <w:rPr>
          <w:rFonts w:ascii="Times New Roman"/>
          <w:szCs w:val="21"/>
        </w:rPr>
      </w:pPr>
      <w:r>
        <w:rPr>
          <w:rFonts w:hint="eastAsia" w:ascii="Times New Roman"/>
          <w:szCs w:val="21"/>
        </w:rPr>
        <w:t>普通抹灰砂浆为（</w:t>
      </w:r>
      <w:r>
        <w:rPr>
          <w:rFonts w:ascii="Times New Roman"/>
          <w:szCs w:val="21"/>
        </w:rPr>
        <w:t>95</w:t>
      </w:r>
      <w:r>
        <w:rPr>
          <w:rFonts w:hint="eastAsia" w:ascii="Times New Roman"/>
          <w:szCs w:val="21"/>
        </w:rPr>
        <w:t>±</w:t>
      </w:r>
      <w:r>
        <w:rPr>
          <w:rFonts w:ascii="Times New Roman"/>
          <w:szCs w:val="21"/>
        </w:rPr>
        <w:t>5</w:t>
      </w:r>
      <w:r>
        <w:rPr>
          <w:rFonts w:hint="eastAsia" w:ascii="Times New Roman"/>
          <w:szCs w:val="21"/>
        </w:rPr>
        <w:t>）mm，薄层抹灰砂浆为（7</w:t>
      </w:r>
      <w:r>
        <w:rPr>
          <w:rFonts w:ascii="Times New Roman"/>
          <w:szCs w:val="21"/>
        </w:rPr>
        <w:t>5</w:t>
      </w:r>
      <w:r>
        <w:rPr>
          <w:rFonts w:hint="eastAsia" w:ascii="Times New Roman"/>
          <w:szCs w:val="21"/>
        </w:rPr>
        <w:t>±</w:t>
      </w:r>
      <w:r>
        <w:rPr>
          <w:rFonts w:ascii="Times New Roman"/>
          <w:szCs w:val="21"/>
        </w:rPr>
        <w:t>5</w:t>
      </w:r>
      <w:r>
        <w:rPr>
          <w:rFonts w:hint="eastAsia" w:ascii="Times New Roman"/>
          <w:szCs w:val="21"/>
        </w:rPr>
        <w:t>）mm，机喷抹灰砂浆为（</w:t>
      </w:r>
      <w:r>
        <w:rPr>
          <w:rFonts w:ascii="Times New Roman"/>
          <w:szCs w:val="21"/>
        </w:rPr>
        <w:t>95</w:t>
      </w:r>
      <w:r>
        <w:rPr>
          <w:rFonts w:hint="eastAsia" w:ascii="Times New Roman"/>
          <w:szCs w:val="21"/>
        </w:rPr>
        <w:t>±</w:t>
      </w:r>
      <w:r>
        <w:rPr>
          <w:rFonts w:ascii="Times New Roman"/>
          <w:szCs w:val="21"/>
        </w:rPr>
        <w:t>5</w:t>
      </w:r>
      <w:r>
        <w:rPr>
          <w:rFonts w:hint="eastAsia" w:ascii="Times New Roman"/>
          <w:szCs w:val="21"/>
        </w:rPr>
        <w:t>）mm；</w:t>
      </w:r>
    </w:p>
    <w:p>
      <w:pPr>
        <w:pStyle w:val="166"/>
        <w:numPr>
          <w:ilvl w:val="0"/>
          <w:numId w:val="32"/>
        </w:numPr>
        <w:rPr>
          <w:rFonts w:ascii="Times New Roman"/>
          <w:szCs w:val="21"/>
        </w:rPr>
      </w:pPr>
      <w:r>
        <w:rPr>
          <w:rFonts w:hint="eastAsia" w:ascii="Times New Roman"/>
          <w:szCs w:val="21"/>
        </w:rPr>
        <w:t>地面砂浆为（</w:t>
      </w:r>
      <w:r>
        <w:rPr>
          <w:rFonts w:ascii="Times New Roman"/>
          <w:szCs w:val="21"/>
        </w:rPr>
        <w:t>50</w:t>
      </w:r>
      <w:r>
        <w:rPr>
          <w:rFonts w:hint="eastAsia" w:ascii="Times New Roman"/>
          <w:szCs w:val="21"/>
        </w:rPr>
        <w:t>±</w:t>
      </w:r>
      <w:r>
        <w:rPr>
          <w:rFonts w:ascii="Times New Roman"/>
          <w:szCs w:val="21"/>
        </w:rPr>
        <w:t>5</w:t>
      </w:r>
      <w:r>
        <w:rPr>
          <w:rFonts w:hint="eastAsia" w:ascii="Times New Roman"/>
          <w:szCs w:val="21"/>
        </w:rPr>
        <w:t>）mm；</w:t>
      </w:r>
    </w:p>
    <w:p>
      <w:pPr>
        <w:pStyle w:val="166"/>
        <w:numPr>
          <w:ilvl w:val="0"/>
          <w:numId w:val="32"/>
        </w:numPr>
        <w:rPr>
          <w:rFonts w:ascii="Times New Roman"/>
          <w:szCs w:val="21"/>
        </w:rPr>
      </w:pPr>
      <w:r>
        <w:rPr>
          <w:rFonts w:hint="eastAsia" w:ascii="Times New Roman"/>
          <w:szCs w:val="21"/>
        </w:rPr>
        <w:t>普通防水砂浆为（7</w:t>
      </w:r>
      <w:r>
        <w:rPr>
          <w:rFonts w:ascii="Times New Roman"/>
          <w:szCs w:val="21"/>
        </w:rPr>
        <w:t>5</w:t>
      </w:r>
      <w:r>
        <w:rPr>
          <w:rFonts w:hint="eastAsia" w:ascii="Times New Roman"/>
          <w:szCs w:val="21"/>
        </w:rPr>
        <w:t>±</w:t>
      </w:r>
      <w:r>
        <w:rPr>
          <w:rFonts w:ascii="Times New Roman"/>
          <w:szCs w:val="21"/>
        </w:rPr>
        <w:t>5</w:t>
      </w:r>
      <w:r>
        <w:rPr>
          <w:rFonts w:hint="eastAsia" w:ascii="Times New Roman"/>
          <w:szCs w:val="21"/>
        </w:rPr>
        <w:t>）mm。</w:t>
      </w:r>
    </w:p>
    <w:p>
      <w:pPr>
        <w:pStyle w:val="166"/>
        <w:rPr>
          <w:rFonts w:ascii="Times New Roman"/>
          <w:szCs w:val="21"/>
        </w:rPr>
      </w:pPr>
      <w:r>
        <w:rPr>
          <w:rFonts w:hint="eastAsia" w:ascii="Times New Roman"/>
          <w:szCs w:val="21"/>
        </w:rPr>
        <w:t>抗压强度、保水率、凝结时间、抗渗压力、拉伸粘结强度、收缩率、抗冻性试验应按JGJ</w:t>
      </w:r>
      <w:r>
        <w:rPr>
          <w:rFonts w:ascii="Times New Roman"/>
          <w:szCs w:val="21"/>
        </w:rPr>
        <w:t>/T 70</w:t>
      </w:r>
      <w:r>
        <w:rPr>
          <w:rFonts w:hint="eastAsia" w:ascii="Times New Roman"/>
          <w:szCs w:val="21"/>
        </w:rPr>
        <w:t>的有关规定执行。</w:t>
      </w:r>
    </w:p>
    <w:p>
      <w:pPr>
        <w:pStyle w:val="166"/>
        <w:rPr>
          <w:rFonts w:ascii="Times New Roman"/>
          <w:szCs w:val="21"/>
        </w:rPr>
      </w:pPr>
      <w:r>
        <w:rPr>
          <w:rFonts w:hint="eastAsia" w:ascii="Times New Roman"/>
          <w:szCs w:val="21"/>
        </w:rPr>
        <w:t>2h稠度损失率、保塑时间、压力泌水率试验应按G</w:t>
      </w:r>
      <w:r>
        <w:rPr>
          <w:rFonts w:ascii="Times New Roman"/>
          <w:szCs w:val="21"/>
        </w:rPr>
        <w:t>B</w:t>
      </w:r>
      <w:r>
        <w:rPr>
          <w:rFonts w:hint="eastAsia" w:ascii="Times New Roman"/>
          <w:szCs w:val="21"/>
        </w:rPr>
        <w:t>/</w:t>
      </w:r>
      <w:r>
        <w:rPr>
          <w:rFonts w:ascii="Times New Roman"/>
          <w:szCs w:val="21"/>
        </w:rPr>
        <w:t>T 25181</w:t>
      </w:r>
      <w:r>
        <w:rPr>
          <w:rFonts w:hint="eastAsia" w:ascii="Times New Roman"/>
          <w:szCs w:val="21"/>
        </w:rPr>
        <w:t>的规定执行。</w:t>
      </w:r>
    </w:p>
    <w:p>
      <w:pPr>
        <w:pStyle w:val="105"/>
        <w:spacing w:before="312" w:after="312"/>
      </w:pPr>
      <w:r>
        <w:rPr>
          <w:rFonts w:hint="eastAsia"/>
        </w:rPr>
        <w:t>原材料</w:t>
      </w:r>
    </w:p>
    <w:p>
      <w:pPr>
        <w:pStyle w:val="106"/>
        <w:spacing w:before="156" w:after="156"/>
      </w:pPr>
      <w:r>
        <w:rPr>
          <w:rFonts w:hint="eastAsia"/>
        </w:rPr>
        <w:t>一般规定</w:t>
      </w:r>
    </w:p>
    <w:p>
      <w:pPr>
        <w:pStyle w:val="166"/>
        <w:rPr>
          <w:rFonts w:ascii="Times New Roman"/>
          <w:szCs w:val="21"/>
        </w:rPr>
      </w:pPr>
      <w:r>
        <w:rPr>
          <w:rFonts w:ascii="Times New Roman"/>
          <w:szCs w:val="21"/>
        </w:rPr>
        <w:t>预拌砂浆所用</w:t>
      </w:r>
      <w:r>
        <w:rPr>
          <w:rFonts w:hint="eastAsia" w:ascii="Times New Roman"/>
          <w:szCs w:val="21"/>
        </w:rPr>
        <w:t>原材料</w:t>
      </w:r>
      <w:r>
        <w:rPr>
          <w:rFonts w:ascii="Times New Roman"/>
          <w:szCs w:val="21"/>
        </w:rPr>
        <w:t>不应对人体、生物及环境造成有害的影响，并应符合国家安全和环保相关标准的规定。</w:t>
      </w:r>
    </w:p>
    <w:p>
      <w:pPr>
        <w:pStyle w:val="166"/>
        <w:rPr>
          <w:rFonts w:ascii="Times New Roman"/>
          <w:szCs w:val="21"/>
        </w:rPr>
      </w:pPr>
      <w:r>
        <w:rPr>
          <w:rFonts w:hint="eastAsia" w:ascii="Times New Roman"/>
          <w:szCs w:val="21"/>
        </w:rPr>
        <w:t>预拌砂浆严禁使用钢渣砂、不锈钢钢渣砂等可能产生安定性不良的材料，不得使用对砂浆和基层混凝土耐久性产生不利影响的物质。</w:t>
      </w:r>
    </w:p>
    <w:p>
      <w:pPr>
        <w:pStyle w:val="166"/>
        <w:rPr>
          <w:rFonts w:ascii="Times New Roman"/>
          <w:szCs w:val="21"/>
        </w:rPr>
      </w:pPr>
      <w:r>
        <w:rPr>
          <w:rFonts w:ascii="Times New Roman"/>
          <w:szCs w:val="21"/>
        </w:rPr>
        <w:t>原材料</w:t>
      </w:r>
      <w:r>
        <w:rPr>
          <w:rFonts w:hint="eastAsia" w:ascii="Times New Roman"/>
          <w:szCs w:val="21"/>
        </w:rPr>
        <w:t>进场时必须有质量证明文件，并应按批量复验，复验合格后方可使用。</w:t>
      </w:r>
    </w:p>
    <w:p>
      <w:pPr>
        <w:pStyle w:val="106"/>
        <w:spacing w:before="156" w:after="156"/>
      </w:pPr>
      <w:r>
        <w:rPr>
          <w:rFonts w:hint="eastAsia"/>
        </w:rPr>
        <w:t>水泥</w:t>
      </w:r>
    </w:p>
    <w:p>
      <w:pPr>
        <w:pStyle w:val="166"/>
        <w:rPr>
          <w:rFonts w:ascii="Times New Roman"/>
          <w:szCs w:val="21"/>
        </w:rPr>
      </w:pPr>
      <w:r>
        <w:rPr>
          <w:rFonts w:hint="eastAsia" w:ascii="Times New Roman"/>
          <w:szCs w:val="21"/>
        </w:rPr>
        <w:t>宜选用通用硅酸盐水泥，其性能应符合GB</w:t>
      </w:r>
      <w:r>
        <w:rPr>
          <w:rFonts w:ascii="Times New Roman"/>
          <w:szCs w:val="21"/>
        </w:rPr>
        <w:t xml:space="preserve"> 175</w:t>
      </w:r>
      <w:r>
        <w:rPr>
          <w:rFonts w:hint="eastAsia" w:ascii="Times New Roman"/>
          <w:szCs w:val="21"/>
        </w:rPr>
        <w:t>的规定。采用其他品种水泥时，其性能应符合相关标准的规定。</w:t>
      </w:r>
    </w:p>
    <w:p>
      <w:pPr>
        <w:pStyle w:val="166"/>
        <w:rPr>
          <w:rFonts w:ascii="Times New Roman"/>
          <w:szCs w:val="21"/>
        </w:rPr>
      </w:pPr>
      <w:r>
        <w:rPr>
          <w:rFonts w:hint="eastAsia" w:ascii="Times New Roman"/>
          <w:szCs w:val="21"/>
        </w:rPr>
        <w:t>通用硅酸盐水泥应采用散装水泥，其他水泥宜采用散装水泥。不同品种、等级和厂家的水泥不应混用。</w:t>
      </w:r>
    </w:p>
    <w:p>
      <w:pPr>
        <w:pStyle w:val="166"/>
        <w:rPr>
          <w:rFonts w:ascii="Times New Roman"/>
          <w:szCs w:val="21"/>
        </w:rPr>
      </w:pPr>
      <w:r>
        <w:rPr>
          <w:rFonts w:hint="eastAsia" w:ascii="Times New Roman"/>
          <w:szCs w:val="21"/>
        </w:rPr>
        <w:t>水泥存储不宜超过</w:t>
      </w:r>
      <w:r>
        <w:rPr>
          <w:rFonts w:ascii="Times New Roman"/>
          <w:szCs w:val="21"/>
        </w:rPr>
        <w:t>3</w:t>
      </w:r>
      <w:r>
        <w:rPr>
          <w:rFonts w:hint="eastAsia" w:ascii="Times New Roman"/>
          <w:szCs w:val="21"/>
        </w:rPr>
        <w:t>个月。当存储超过3个月、存储不当或在使用过程中产生质量疑问时，应重新进行物理性能检验，并按复验的结果提出使用方案。</w:t>
      </w:r>
    </w:p>
    <w:p>
      <w:pPr>
        <w:pStyle w:val="166"/>
        <w:rPr>
          <w:rFonts w:ascii="Times New Roman"/>
          <w:szCs w:val="21"/>
        </w:rPr>
      </w:pPr>
      <w:r>
        <w:rPr>
          <w:rFonts w:hint="eastAsia" w:ascii="Times New Roman"/>
          <w:szCs w:val="21"/>
        </w:rPr>
        <w:t>同一水泥厂家，同品种、同强度等级的通用硅酸盐水泥，以同一出厂编号的5</w:t>
      </w:r>
      <w:r>
        <w:rPr>
          <w:rFonts w:ascii="Times New Roman"/>
          <w:szCs w:val="21"/>
        </w:rPr>
        <w:t>00</w:t>
      </w:r>
      <w:r>
        <w:rPr>
          <w:rFonts w:hint="eastAsia" w:ascii="Times New Roman"/>
          <w:szCs w:val="21"/>
        </w:rPr>
        <w:t>t为一批，不足5</w:t>
      </w:r>
      <w:r>
        <w:rPr>
          <w:rFonts w:ascii="Times New Roman"/>
          <w:szCs w:val="21"/>
        </w:rPr>
        <w:t>00</w:t>
      </w:r>
      <w:r>
        <w:rPr>
          <w:rFonts w:hint="eastAsia" w:ascii="Times New Roman"/>
          <w:szCs w:val="21"/>
        </w:rPr>
        <w:t>t也按一批计；其他品种水泥按照相关标准进行组批和检验。</w:t>
      </w:r>
    </w:p>
    <w:p>
      <w:pPr>
        <w:pStyle w:val="106"/>
        <w:spacing w:before="156" w:after="156"/>
      </w:pPr>
      <w:r>
        <w:rPr>
          <w:rFonts w:hint="eastAsia"/>
        </w:rPr>
        <w:t>细骨料</w:t>
      </w:r>
    </w:p>
    <w:p>
      <w:pPr>
        <w:pStyle w:val="166"/>
        <w:rPr>
          <w:rFonts w:ascii="Times New Roman"/>
          <w:szCs w:val="21"/>
        </w:rPr>
      </w:pPr>
      <w:r>
        <w:rPr>
          <w:rFonts w:ascii="Times New Roman"/>
          <w:szCs w:val="21"/>
        </w:rPr>
        <w:t>细骨料</w:t>
      </w:r>
      <w:r>
        <w:rPr>
          <w:rFonts w:hint="eastAsia" w:ascii="Times New Roman"/>
          <w:szCs w:val="21"/>
        </w:rPr>
        <w:t>宜采用天然砂、机制砂及混合砂，其性能</w:t>
      </w:r>
      <w:r>
        <w:rPr>
          <w:rFonts w:ascii="Times New Roman"/>
          <w:szCs w:val="21"/>
        </w:rPr>
        <w:t>应符合GB/T 14684的规定</w:t>
      </w:r>
      <w:r>
        <w:rPr>
          <w:rFonts w:hint="eastAsia" w:ascii="Times New Roman"/>
          <w:szCs w:val="21"/>
        </w:rPr>
        <w:t>，且不应含有粒径大于4</w:t>
      </w:r>
      <w:r>
        <w:rPr>
          <w:rFonts w:ascii="Times New Roman"/>
          <w:szCs w:val="21"/>
        </w:rPr>
        <w:t>.75</w:t>
      </w:r>
      <w:r>
        <w:rPr>
          <w:rFonts w:hint="eastAsia" w:ascii="Times New Roman"/>
          <w:szCs w:val="21"/>
        </w:rPr>
        <w:t>mm的颗粒。当采用机械喷涂施工时，抹灰砂浆用砂通过1</w:t>
      </w:r>
      <w:r>
        <w:rPr>
          <w:rFonts w:ascii="Times New Roman"/>
          <w:szCs w:val="21"/>
        </w:rPr>
        <w:t>.18</w:t>
      </w:r>
      <w:r>
        <w:rPr>
          <w:rFonts w:hint="eastAsia" w:ascii="Times New Roman"/>
          <w:szCs w:val="21"/>
        </w:rPr>
        <w:t>mm筛孔的颗粒应不少于6</w:t>
      </w:r>
      <w:r>
        <w:rPr>
          <w:rFonts w:ascii="Times New Roman"/>
          <w:szCs w:val="21"/>
        </w:rPr>
        <w:t>0</w:t>
      </w:r>
      <w:r>
        <w:rPr>
          <w:rFonts w:hint="eastAsia" w:ascii="Times New Roman"/>
          <w:szCs w:val="21"/>
        </w:rPr>
        <w:t>%。</w:t>
      </w:r>
    </w:p>
    <w:p>
      <w:pPr>
        <w:pStyle w:val="166"/>
        <w:rPr>
          <w:rFonts w:ascii="Times New Roman"/>
          <w:szCs w:val="21"/>
        </w:rPr>
      </w:pPr>
      <w:r>
        <w:rPr>
          <w:rFonts w:hint="eastAsia" w:ascii="Times New Roman"/>
          <w:szCs w:val="21"/>
        </w:rPr>
        <w:t>用于干混砂浆的细骨料应进行干燥处理，其含水率应小于0</w:t>
      </w:r>
      <w:r>
        <w:rPr>
          <w:rFonts w:ascii="Times New Roman"/>
          <w:szCs w:val="21"/>
        </w:rPr>
        <w:t>.5</w:t>
      </w:r>
      <w:r>
        <w:rPr>
          <w:rFonts w:hint="eastAsia" w:ascii="Times New Roman"/>
          <w:szCs w:val="21"/>
        </w:rPr>
        <w:t>%。</w:t>
      </w:r>
    </w:p>
    <w:p>
      <w:pPr>
        <w:pStyle w:val="166"/>
        <w:rPr>
          <w:rFonts w:ascii="Times New Roman"/>
          <w:szCs w:val="21"/>
        </w:rPr>
      </w:pPr>
      <w:r>
        <w:rPr>
          <w:rFonts w:hint="eastAsia" w:ascii="Times New Roman"/>
          <w:szCs w:val="21"/>
        </w:rPr>
        <w:t>再生细骨料、铁尾矿砂的性能应分别符合GB</w:t>
      </w:r>
      <w:r>
        <w:rPr>
          <w:rFonts w:ascii="Times New Roman"/>
          <w:szCs w:val="21"/>
        </w:rPr>
        <w:t>/T 25176</w:t>
      </w:r>
      <w:r>
        <w:rPr>
          <w:rFonts w:hint="eastAsia" w:ascii="Times New Roman"/>
          <w:szCs w:val="21"/>
        </w:rPr>
        <w:t>、GB</w:t>
      </w:r>
      <w:r>
        <w:rPr>
          <w:rFonts w:ascii="Times New Roman"/>
          <w:szCs w:val="21"/>
        </w:rPr>
        <w:t>/T 31288</w:t>
      </w:r>
      <w:r>
        <w:rPr>
          <w:rFonts w:hint="eastAsia" w:ascii="Times New Roman"/>
          <w:szCs w:val="21"/>
        </w:rPr>
        <w:t>的规定，且不应对砂浆性能产生不良影响。铁尾矿砂不宜用于抹灰砂浆。</w:t>
      </w:r>
    </w:p>
    <w:p>
      <w:pPr>
        <w:pStyle w:val="166"/>
        <w:rPr>
          <w:rFonts w:ascii="Times New Roman"/>
          <w:szCs w:val="21"/>
        </w:rPr>
      </w:pPr>
      <w:r>
        <w:rPr>
          <w:rFonts w:hint="eastAsia" w:ascii="Times New Roman"/>
          <w:szCs w:val="21"/>
        </w:rPr>
        <w:t>采用其他细骨料应符合相关标准的要求或有充足的技术依据，并应在使用前进行试验验证。</w:t>
      </w:r>
    </w:p>
    <w:p>
      <w:pPr>
        <w:pStyle w:val="166"/>
        <w:rPr>
          <w:rFonts w:ascii="Times New Roman"/>
          <w:szCs w:val="21"/>
        </w:rPr>
      </w:pPr>
      <w:r>
        <w:rPr>
          <w:rFonts w:hint="eastAsia" w:ascii="Times New Roman"/>
          <w:szCs w:val="21"/>
        </w:rPr>
        <w:t>集中生产时，检验批量以1</w:t>
      </w:r>
      <w:r>
        <w:rPr>
          <w:rFonts w:ascii="Times New Roman"/>
          <w:szCs w:val="21"/>
        </w:rPr>
        <w:t>000</w:t>
      </w:r>
      <w:r>
        <w:rPr>
          <w:rFonts w:hint="eastAsia" w:ascii="Times New Roman"/>
          <w:szCs w:val="21"/>
        </w:rPr>
        <w:t>t为一批；不足规定数量也按一批计。</w:t>
      </w:r>
    </w:p>
    <w:p>
      <w:pPr>
        <w:pStyle w:val="106"/>
        <w:spacing w:before="156" w:after="156"/>
      </w:pPr>
      <w:r>
        <w:rPr>
          <w:rFonts w:hint="eastAsia"/>
        </w:rPr>
        <w:t>矿物掺合料、填料</w:t>
      </w:r>
    </w:p>
    <w:p>
      <w:pPr>
        <w:pStyle w:val="166"/>
        <w:rPr>
          <w:rFonts w:ascii="Times New Roman"/>
          <w:szCs w:val="21"/>
        </w:rPr>
      </w:pPr>
      <w:r>
        <w:rPr>
          <w:rFonts w:hint="eastAsia" w:ascii="Times New Roman"/>
          <w:szCs w:val="21"/>
        </w:rPr>
        <w:t>粉煤灰</w:t>
      </w:r>
      <w:r>
        <w:rPr>
          <w:rFonts w:ascii="Times New Roman"/>
          <w:szCs w:val="21"/>
        </w:rPr>
        <w:t>应符合GB/T 1596</w:t>
      </w:r>
      <w:r>
        <w:rPr>
          <w:rFonts w:hint="eastAsia" w:ascii="Times New Roman"/>
          <w:szCs w:val="21"/>
        </w:rPr>
        <w:t>的要求，且质量等级不得低于</w:t>
      </w:r>
      <w:r>
        <w:rPr>
          <w:rFonts w:ascii="Times New Roman"/>
          <w:szCs w:val="21"/>
        </w:rPr>
        <w:t>Ⅱ</w:t>
      </w:r>
      <w:r>
        <w:rPr>
          <w:rFonts w:hint="eastAsia" w:ascii="Times New Roman"/>
          <w:szCs w:val="21"/>
        </w:rPr>
        <w:t>级</w:t>
      </w:r>
      <w:r>
        <w:rPr>
          <w:rFonts w:ascii="Times New Roman"/>
          <w:szCs w:val="21"/>
        </w:rPr>
        <w:t>。</w:t>
      </w:r>
    </w:p>
    <w:p>
      <w:pPr>
        <w:pStyle w:val="166"/>
        <w:rPr>
          <w:rFonts w:ascii="Times New Roman"/>
          <w:szCs w:val="21"/>
        </w:rPr>
      </w:pPr>
      <w:r>
        <w:rPr>
          <w:rFonts w:ascii="Times New Roman"/>
          <w:szCs w:val="21"/>
        </w:rPr>
        <w:t>粒化高炉矿渣粉</w:t>
      </w:r>
      <w:r>
        <w:rPr>
          <w:rFonts w:hint="eastAsia" w:ascii="Times New Roman"/>
          <w:szCs w:val="21"/>
        </w:rPr>
        <w:t>、硅灰、天然沸石粉、复合矿物掺合料</w:t>
      </w:r>
      <w:r>
        <w:rPr>
          <w:rFonts w:ascii="Times New Roman"/>
          <w:szCs w:val="21"/>
        </w:rPr>
        <w:t>应</w:t>
      </w:r>
      <w:r>
        <w:rPr>
          <w:rFonts w:hint="eastAsia" w:ascii="Times New Roman"/>
          <w:szCs w:val="21"/>
        </w:rPr>
        <w:t>分别符合</w:t>
      </w:r>
      <w:r>
        <w:rPr>
          <w:rFonts w:ascii="Times New Roman"/>
          <w:szCs w:val="21"/>
        </w:rPr>
        <w:t>GB/T 18046</w:t>
      </w:r>
      <w:r>
        <w:rPr>
          <w:rFonts w:hint="eastAsia" w:ascii="Times New Roman"/>
          <w:szCs w:val="21"/>
        </w:rPr>
        <w:t>、</w:t>
      </w:r>
      <w:r>
        <w:rPr>
          <w:rFonts w:ascii="Times New Roman"/>
          <w:szCs w:val="21"/>
        </w:rPr>
        <w:t>GB/T 27690</w:t>
      </w:r>
      <w:r>
        <w:rPr>
          <w:rFonts w:hint="eastAsia" w:ascii="Times New Roman"/>
          <w:szCs w:val="21"/>
        </w:rPr>
        <w:t>、JG</w:t>
      </w:r>
      <w:r>
        <w:rPr>
          <w:rFonts w:ascii="Times New Roman"/>
          <w:szCs w:val="21"/>
        </w:rPr>
        <w:t>/T 566</w:t>
      </w:r>
      <w:r>
        <w:rPr>
          <w:rFonts w:hint="eastAsia" w:ascii="Times New Roman"/>
          <w:szCs w:val="21"/>
        </w:rPr>
        <w:t>和JG</w:t>
      </w:r>
      <w:r>
        <w:rPr>
          <w:rFonts w:ascii="Times New Roman"/>
          <w:szCs w:val="21"/>
        </w:rPr>
        <w:t>/T 486的要求。</w:t>
      </w:r>
    </w:p>
    <w:p>
      <w:pPr>
        <w:pStyle w:val="166"/>
        <w:rPr>
          <w:rFonts w:ascii="Times New Roman"/>
          <w:szCs w:val="21"/>
        </w:rPr>
      </w:pPr>
      <w:r>
        <w:rPr>
          <w:rFonts w:hint="eastAsia" w:ascii="Times New Roman"/>
          <w:szCs w:val="21"/>
        </w:rPr>
        <w:t>再生微粉应符合JG</w:t>
      </w:r>
      <w:r>
        <w:rPr>
          <w:rFonts w:ascii="Times New Roman"/>
          <w:szCs w:val="21"/>
        </w:rPr>
        <w:t>/T 573</w:t>
      </w:r>
      <w:r>
        <w:rPr>
          <w:rFonts w:hint="eastAsia" w:ascii="Times New Roman"/>
          <w:szCs w:val="21"/>
        </w:rPr>
        <w:t>的要求，且活性指数应不小于7</w:t>
      </w:r>
      <w:r>
        <w:rPr>
          <w:rFonts w:ascii="Times New Roman"/>
          <w:szCs w:val="21"/>
        </w:rPr>
        <w:t>0%</w:t>
      </w:r>
      <w:r>
        <w:rPr>
          <w:rFonts w:hint="eastAsia" w:ascii="Times New Roman"/>
          <w:szCs w:val="21"/>
        </w:rPr>
        <w:t>。</w:t>
      </w:r>
    </w:p>
    <w:p>
      <w:pPr>
        <w:pStyle w:val="166"/>
        <w:rPr>
          <w:rFonts w:ascii="Times New Roman"/>
          <w:szCs w:val="21"/>
        </w:rPr>
      </w:pPr>
      <w:r>
        <w:rPr>
          <w:rFonts w:hint="eastAsia" w:ascii="Times New Roman"/>
          <w:szCs w:val="21"/>
        </w:rPr>
        <w:t>严禁使用黏土膏、脱水硬化的石灰膏和消石灰粉。</w:t>
      </w:r>
    </w:p>
    <w:p>
      <w:pPr>
        <w:pStyle w:val="166"/>
        <w:rPr>
          <w:rFonts w:ascii="Times New Roman"/>
          <w:szCs w:val="21"/>
        </w:rPr>
      </w:pPr>
      <w:r>
        <w:rPr>
          <w:rFonts w:ascii="Times New Roman"/>
          <w:szCs w:val="21"/>
        </w:rPr>
        <w:t>采用重质碳酸钙、轻质碳酸钙、石英粉、滑石粉、石粉作为填料时，应在使用前对其拌合的砂浆进行试验验证，确认能够达到相应的预拌砂浆技术要求，</w:t>
      </w:r>
      <w:r>
        <w:rPr>
          <w:rFonts w:hint="eastAsia" w:ascii="Times New Roman"/>
          <w:szCs w:val="21"/>
        </w:rPr>
        <w:t>且</w:t>
      </w:r>
      <w:r>
        <w:rPr>
          <w:rFonts w:ascii="Times New Roman"/>
          <w:szCs w:val="21"/>
        </w:rPr>
        <w:t>其掺量不宜超过胶凝材料总量的5%。</w:t>
      </w:r>
    </w:p>
    <w:p>
      <w:pPr>
        <w:pStyle w:val="166"/>
        <w:rPr>
          <w:rFonts w:ascii="Times New Roman"/>
          <w:szCs w:val="21"/>
        </w:rPr>
      </w:pPr>
      <w:r>
        <w:rPr>
          <w:rFonts w:ascii="Times New Roman"/>
          <w:szCs w:val="21"/>
        </w:rPr>
        <w:t>矿物掺合料应以连续供应相同等级的100</w:t>
      </w:r>
      <w:r>
        <w:rPr>
          <w:rFonts w:hint="eastAsia" w:ascii="Times New Roman"/>
          <w:szCs w:val="21"/>
        </w:rPr>
        <w:t>t</w:t>
      </w:r>
      <w:r>
        <w:rPr>
          <w:rFonts w:ascii="Times New Roman"/>
          <w:szCs w:val="21"/>
        </w:rPr>
        <w:t>为一批</w:t>
      </w:r>
      <w:r>
        <w:rPr>
          <w:rFonts w:hint="eastAsia" w:ascii="Times New Roman"/>
          <w:szCs w:val="21"/>
        </w:rPr>
        <w:t>，</w:t>
      </w:r>
      <w:r>
        <w:rPr>
          <w:rFonts w:ascii="Times New Roman"/>
          <w:szCs w:val="21"/>
        </w:rPr>
        <w:t>不足100</w:t>
      </w:r>
      <w:r>
        <w:rPr>
          <w:rFonts w:hint="eastAsia" w:ascii="Times New Roman"/>
          <w:szCs w:val="21"/>
        </w:rPr>
        <w:t>t</w:t>
      </w:r>
      <w:r>
        <w:rPr>
          <w:rFonts w:ascii="Times New Roman"/>
          <w:szCs w:val="21"/>
        </w:rPr>
        <w:t>也</w:t>
      </w:r>
      <w:r>
        <w:rPr>
          <w:rFonts w:hint="eastAsia" w:ascii="Times New Roman"/>
          <w:szCs w:val="21"/>
        </w:rPr>
        <w:t>按</w:t>
      </w:r>
      <w:r>
        <w:rPr>
          <w:rFonts w:ascii="Times New Roman"/>
          <w:szCs w:val="21"/>
        </w:rPr>
        <w:t>一批计</w:t>
      </w:r>
      <w:r>
        <w:rPr>
          <w:rFonts w:hint="eastAsia" w:ascii="Times New Roman"/>
          <w:szCs w:val="21"/>
        </w:rPr>
        <w:t>；填料应以</w:t>
      </w:r>
      <w:r>
        <w:rPr>
          <w:rFonts w:ascii="Times New Roman"/>
          <w:szCs w:val="21"/>
        </w:rPr>
        <w:t>连续供应相同等级的50</w:t>
      </w:r>
      <w:r>
        <w:rPr>
          <w:rFonts w:hint="eastAsia" w:ascii="Times New Roman"/>
          <w:szCs w:val="21"/>
        </w:rPr>
        <w:t>t</w:t>
      </w:r>
      <w:r>
        <w:rPr>
          <w:rFonts w:ascii="Times New Roman"/>
          <w:szCs w:val="21"/>
        </w:rPr>
        <w:t>为一批</w:t>
      </w:r>
      <w:r>
        <w:rPr>
          <w:rFonts w:hint="eastAsia" w:ascii="Times New Roman"/>
          <w:szCs w:val="21"/>
        </w:rPr>
        <w:t>，不足5</w:t>
      </w:r>
      <w:r>
        <w:rPr>
          <w:rFonts w:ascii="Times New Roman"/>
          <w:szCs w:val="21"/>
        </w:rPr>
        <w:t>0</w:t>
      </w:r>
      <w:r>
        <w:rPr>
          <w:rFonts w:hint="eastAsia" w:ascii="Times New Roman"/>
          <w:szCs w:val="21"/>
        </w:rPr>
        <w:t>t也按一批计。</w:t>
      </w:r>
    </w:p>
    <w:p>
      <w:pPr>
        <w:pStyle w:val="106"/>
        <w:spacing w:before="156" w:after="156"/>
      </w:pPr>
      <w:r>
        <w:rPr>
          <w:rFonts w:hint="eastAsia"/>
        </w:rPr>
        <w:t>砂浆外加剂</w:t>
      </w:r>
    </w:p>
    <w:p>
      <w:pPr>
        <w:pStyle w:val="166"/>
        <w:rPr>
          <w:rFonts w:ascii="Times New Roman"/>
          <w:szCs w:val="21"/>
        </w:rPr>
      </w:pPr>
      <w:r>
        <w:rPr>
          <w:rFonts w:ascii="Times New Roman"/>
          <w:szCs w:val="21"/>
        </w:rPr>
        <w:t>保水增稠材料用于砌筑砂浆应符合</w:t>
      </w:r>
      <w:bookmarkStart w:id="42" w:name="_Hlk132981832"/>
      <w:r>
        <w:rPr>
          <w:rFonts w:ascii="Times New Roman"/>
          <w:szCs w:val="21"/>
        </w:rPr>
        <w:t>JG/T 164</w:t>
      </w:r>
      <w:bookmarkEnd w:id="42"/>
      <w:r>
        <w:rPr>
          <w:rFonts w:ascii="Times New Roman"/>
          <w:szCs w:val="21"/>
        </w:rPr>
        <w:t>的规定</w:t>
      </w:r>
      <w:r>
        <w:rPr>
          <w:rFonts w:hint="eastAsia" w:ascii="Times New Roman"/>
          <w:szCs w:val="21"/>
        </w:rPr>
        <w:t>，</w:t>
      </w:r>
      <w:r>
        <w:rPr>
          <w:rFonts w:ascii="Times New Roman"/>
          <w:szCs w:val="21"/>
        </w:rPr>
        <w:t>用于抹灰砂浆应符合</w:t>
      </w:r>
      <w:bookmarkStart w:id="43" w:name="_Hlk132981843"/>
      <w:r>
        <w:rPr>
          <w:rFonts w:ascii="Times New Roman"/>
          <w:szCs w:val="21"/>
        </w:rPr>
        <w:t>JG/T 426</w:t>
      </w:r>
      <w:bookmarkEnd w:id="43"/>
      <w:r>
        <w:rPr>
          <w:rFonts w:ascii="Times New Roman"/>
          <w:szCs w:val="21"/>
        </w:rPr>
        <w:t>的规定。</w:t>
      </w:r>
    </w:p>
    <w:p>
      <w:pPr>
        <w:pStyle w:val="166"/>
        <w:rPr>
          <w:rFonts w:ascii="Times New Roman"/>
          <w:szCs w:val="21"/>
        </w:rPr>
      </w:pPr>
      <w:r>
        <w:rPr>
          <w:rFonts w:hint="eastAsia" w:ascii="Times New Roman"/>
          <w:szCs w:val="21"/>
        </w:rPr>
        <w:t>外加剂、膨胀剂、防水剂、防冻剂应分别符合GB</w:t>
      </w:r>
      <w:r>
        <w:rPr>
          <w:rFonts w:ascii="Times New Roman"/>
          <w:szCs w:val="21"/>
        </w:rPr>
        <w:t xml:space="preserve"> 8076</w:t>
      </w:r>
      <w:r>
        <w:rPr>
          <w:rFonts w:hint="eastAsia" w:ascii="Times New Roman"/>
          <w:szCs w:val="21"/>
        </w:rPr>
        <w:t>、GB</w:t>
      </w:r>
      <w:r>
        <w:rPr>
          <w:rFonts w:ascii="Times New Roman"/>
          <w:szCs w:val="21"/>
        </w:rPr>
        <w:t>/T 23439</w:t>
      </w:r>
      <w:r>
        <w:rPr>
          <w:rFonts w:hint="eastAsia" w:ascii="Times New Roman"/>
          <w:szCs w:val="21"/>
        </w:rPr>
        <w:t>、JC</w:t>
      </w:r>
      <w:r>
        <w:rPr>
          <w:rFonts w:ascii="Times New Roman"/>
          <w:szCs w:val="21"/>
        </w:rPr>
        <w:t>/T 474</w:t>
      </w:r>
      <w:r>
        <w:rPr>
          <w:rFonts w:hint="eastAsia" w:ascii="Times New Roman"/>
          <w:szCs w:val="21"/>
        </w:rPr>
        <w:t>、JC</w:t>
      </w:r>
      <w:r>
        <w:rPr>
          <w:rFonts w:ascii="Times New Roman"/>
          <w:szCs w:val="21"/>
        </w:rPr>
        <w:t>/T 2031</w:t>
      </w:r>
      <w:r>
        <w:rPr>
          <w:rFonts w:hint="eastAsia" w:ascii="Times New Roman"/>
          <w:szCs w:val="21"/>
        </w:rPr>
        <w:t>的规定。</w:t>
      </w:r>
    </w:p>
    <w:p>
      <w:pPr>
        <w:pStyle w:val="166"/>
        <w:rPr>
          <w:rFonts w:ascii="Times New Roman"/>
          <w:szCs w:val="21"/>
        </w:rPr>
      </w:pPr>
      <w:r>
        <w:rPr>
          <w:rFonts w:hint="eastAsia" w:ascii="Times New Roman"/>
          <w:szCs w:val="21"/>
        </w:rPr>
        <w:t>湿拌砂浆用稳塑剂性能应符合</w:t>
      </w:r>
      <w:bookmarkStart w:id="44" w:name="_Hlk132982076"/>
      <w:r>
        <w:rPr>
          <w:rFonts w:hint="eastAsia" w:ascii="Times New Roman"/>
          <w:szCs w:val="21"/>
        </w:rPr>
        <w:t>JC</w:t>
      </w:r>
      <w:r>
        <w:rPr>
          <w:rFonts w:ascii="Times New Roman"/>
          <w:szCs w:val="21"/>
        </w:rPr>
        <w:t>/T 2590</w:t>
      </w:r>
      <w:bookmarkEnd w:id="44"/>
      <w:r>
        <w:rPr>
          <w:rFonts w:hint="eastAsia" w:ascii="Times New Roman"/>
          <w:szCs w:val="21"/>
        </w:rPr>
        <w:t>的规定</w:t>
      </w:r>
      <w:bookmarkStart w:id="45" w:name="_Hlk132982127"/>
      <w:r>
        <w:rPr>
          <w:rFonts w:hint="eastAsia" w:ascii="Times New Roman"/>
          <w:szCs w:val="21"/>
        </w:rPr>
        <w:t>。</w:t>
      </w:r>
      <w:bookmarkEnd w:id="45"/>
    </w:p>
    <w:p>
      <w:pPr>
        <w:pStyle w:val="166"/>
        <w:rPr>
          <w:rFonts w:ascii="Times New Roman"/>
          <w:szCs w:val="21"/>
        </w:rPr>
      </w:pPr>
      <w:r>
        <w:rPr>
          <w:rFonts w:hint="eastAsia" w:ascii="Times New Roman"/>
          <w:szCs w:val="21"/>
        </w:rPr>
        <w:t>机喷砂浆喷涂剂性能应符合</w:t>
      </w:r>
      <w:bookmarkStart w:id="46" w:name="_Hlk132982090"/>
      <w:r>
        <w:rPr>
          <w:rFonts w:hint="eastAsia" w:ascii="Times New Roman"/>
          <w:szCs w:val="21"/>
        </w:rPr>
        <w:t>JC</w:t>
      </w:r>
      <w:r>
        <w:rPr>
          <w:rFonts w:ascii="Times New Roman"/>
          <w:szCs w:val="21"/>
        </w:rPr>
        <w:t>/T 2589</w:t>
      </w:r>
      <w:bookmarkEnd w:id="46"/>
      <w:r>
        <w:rPr>
          <w:rFonts w:hint="eastAsia" w:ascii="Times New Roman"/>
          <w:szCs w:val="21"/>
        </w:rPr>
        <w:t>的规定，且2</w:t>
      </w:r>
      <w:r>
        <w:rPr>
          <w:rFonts w:ascii="Times New Roman"/>
          <w:szCs w:val="21"/>
        </w:rPr>
        <w:t>8</w:t>
      </w:r>
      <w:r>
        <w:rPr>
          <w:rFonts w:hint="eastAsia" w:ascii="Times New Roman"/>
          <w:szCs w:val="21"/>
        </w:rPr>
        <w:t>d收缩率比宜不大于1</w:t>
      </w:r>
      <w:r>
        <w:rPr>
          <w:rFonts w:ascii="Times New Roman"/>
          <w:szCs w:val="21"/>
        </w:rPr>
        <w:t>20%</w:t>
      </w:r>
      <w:r>
        <w:rPr>
          <w:rFonts w:hint="eastAsia" w:ascii="Times New Roman"/>
          <w:szCs w:val="21"/>
        </w:rPr>
        <w:t>。</w:t>
      </w:r>
    </w:p>
    <w:p>
      <w:pPr>
        <w:pStyle w:val="166"/>
        <w:rPr>
          <w:rFonts w:ascii="Times New Roman"/>
          <w:szCs w:val="21"/>
        </w:rPr>
      </w:pPr>
      <w:r>
        <w:rPr>
          <w:rFonts w:hint="eastAsia" w:ascii="Times New Roman"/>
          <w:szCs w:val="21"/>
        </w:rPr>
        <w:t>其他品种的外加剂应符合相关标准的规定或经过试验验证。当预拌砂浆所用外加剂同时具备保水增稠效果时，其性能应同时满足保水增稠材料和外加剂性能指标要求。</w:t>
      </w:r>
    </w:p>
    <w:p>
      <w:pPr>
        <w:pStyle w:val="166"/>
        <w:rPr>
          <w:rFonts w:ascii="Times New Roman"/>
          <w:szCs w:val="21"/>
        </w:rPr>
      </w:pPr>
      <w:r>
        <w:rPr>
          <w:rFonts w:hint="eastAsia" w:ascii="Times New Roman"/>
          <w:szCs w:val="21"/>
        </w:rPr>
        <w:t>外加剂与砂浆所用原材料应相容性良好，掺外加剂的砂浆性能应符合相应品种砂浆标准的有关规定。</w:t>
      </w:r>
    </w:p>
    <w:p>
      <w:pPr>
        <w:pStyle w:val="166"/>
        <w:rPr>
          <w:rFonts w:ascii="Times New Roman"/>
          <w:szCs w:val="21"/>
        </w:rPr>
      </w:pPr>
      <w:r>
        <w:rPr>
          <w:rFonts w:hint="eastAsia" w:ascii="Times New Roman"/>
          <w:szCs w:val="21"/>
        </w:rPr>
        <w:t>当不同供方、不同品种的外加剂同时掺用时，应经试验验证砂浆性能满足设计和施工要求后方可使用。</w:t>
      </w:r>
    </w:p>
    <w:p>
      <w:pPr>
        <w:pStyle w:val="166"/>
        <w:rPr>
          <w:rFonts w:ascii="Times New Roman"/>
          <w:szCs w:val="21"/>
        </w:rPr>
      </w:pPr>
      <w:r>
        <w:rPr>
          <w:rFonts w:hint="eastAsia" w:ascii="Times New Roman"/>
          <w:szCs w:val="21"/>
        </w:rPr>
        <w:t>砂浆外加剂每1</w:t>
      </w:r>
      <w:r>
        <w:rPr>
          <w:rFonts w:ascii="Times New Roman"/>
          <w:szCs w:val="21"/>
        </w:rPr>
        <w:t>0</w:t>
      </w:r>
      <w:r>
        <w:rPr>
          <w:rFonts w:hint="eastAsia" w:ascii="Times New Roman"/>
          <w:szCs w:val="21"/>
        </w:rPr>
        <w:t>t为一个检验批，不足1</w:t>
      </w:r>
      <w:r>
        <w:rPr>
          <w:rFonts w:ascii="Times New Roman"/>
          <w:szCs w:val="21"/>
        </w:rPr>
        <w:t>0</w:t>
      </w:r>
      <w:r>
        <w:rPr>
          <w:rFonts w:hint="eastAsia" w:ascii="Times New Roman"/>
          <w:szCs w:val="21"/>
        </w:rPr>
        <w:t>t也按一批计。</w:t>
      </w:r>
    </w:p>
    <w:p>
      <w:pPr>
        <w:pStyle w:val="106"/>
        <w:spacing w:before="156" w:after="156"/>
      </w:pPr>
      <w:r>
        <w:rPr>
          <w:rFonts w:hint="eastAsia"/>
        </w:rPr>
        <w:t>其他</w:t>
      </w:r>
    </w:p>
    <w:p>
      <w:pPr>
        <w:pStyle w:val="166"/>
        <w:rPr>
          <w:rFonts w:ascii="Times New Roman"/>
          <w:szCs w:val="21"/>
        </w:rPr>
      </w:pPr>
      <w:r>
        <w:rPr>
          <w:rFonts w:hint="eastAsia" w:ascii="Times New Roman"/>
          <w:szCs w:val="21"/>
        </w:rPr>
        <w:t>预拌砂浆中宜使用合成纤维。合成纤维外观色泽应均匀、表面无污染，其性能应符合</w:t>
      </w:r>
      <w:bookmarkStart w:id="47" w:name="_Hlk132983691"/>
      <w:r>
        <w:rPr>
          <w:rFonts w:hint="eastAsia" w:ascii="Times New Roman"/>
          <w:szCs w:val="21"/>
        </w:rPr>
        <w:t>GB</w:t>
      </w:r>
      <w:r>
        <w:rPr>
          <w:rFonts w:ascii="Times New Roman"/>
          <w:szCs w:val="21"/>
        </w:rPr>
        <w:t xml:space="preserve">/T </w:t>
      </w:r>
      <w:bookmarkEnd w:id="47"/>
      <w:r>
        <w:rPr>
          <w:rFonts w:ascii="Times New Roman"/>
          <w:szCs w:val="21"/>
        </w:rPr>
        <w:t>21</w:t>
      </w:r>
      <w:r>
        <w:rPr>
          <w:rFonts w:hint="eastAsia" w:ascii="Times New Roman"/>
          <w:szCs w:val="21"/>
        </w:rPr>
        <w:t>1</w:t>
      </w:r>
      <w:r>
        <w:rPr>
          <w:rFonts w:ascii="Times New Roman"/>
          <w:szCs w:val="21"/>
        </w:rPr>
        <w:t>20</w:t>
      </w:r>
      <w:r>
        <w:rPr>
          <w:rFonts w:hint="eastAsia" w:ascii="Times New Roman"/>
          <w:szCs w:val="21"/>
        </w:rPr>
        <w:t>中用于砂浆的合成纤维的性能要求，且公称长度不宜大于</w:t>
      </w:r>
      <w:r>
        <w:rPr>
          <w:rFonts w:ascii="Times New Roman"/>
          <w:szCs w:val="21"/>
        </w:rPr>
        <w:t>8</w:t>
      </w:r>
      <w:r>
        <w:rPr>
          <w:rFonts w:hint="eastAsia" w:ascii="Times New Roman"/>
          <w:szCs w:val="21"/>
        </w:rPr>
        <w:t>mm，</w:t>
      </w:r>
      <w:bookmarkStart w:id="48" w:name="_Hlk184308664"/>
      <w:r>
        <w:rPr>
          <w:rFonts w:hint="eastAsia" w:ascii="Times New Roman"/>
          <w:szCs w:val="21"/>
        </w:rPr>
        <w:t>体积掺量不宜大于0.15%</w:t>
      </w:r>
      <w:bookmarkEnd w:id="48"/>
      <w:r>
        <w:rPr>
          <w:rFonts w:hint="eastAsia" w:ascii="Times New Roman"/>
          <w:szCs w:val="21"/>
        </w:rPr>
        <w:t>。</w:t>
      </w:r>
    </w:p>
    <w:p>
      <w:pPr>
        <w:pStyle w:val="166"/>
        <w:rPr>
          <w:rFonts w:ascii="Times New Roman"/>
          <w:szCs w:val="21"/>
        </w:rPr>
      </w:pPr>
      <w:r>
        <w:rPr>
          <w:rFonts w:hint="eastAsia" w:ascii="Times New Roman"/>
          <w:szCs w:val="21"/>
        </w:rPr>
        <w:t>预拌砂浆用合成纤维每5</w:t>
      </w:r>
      <w:r>
        <w:rPr>
          <w:rFonts w:ascii="Times New Roman"/>
          <w:szCs w:val="21"/>
        </w:rPr>
        <w:t>0</w:t>
      </w:r>
      <w:r>
        <w:rPr>
          <w:rFonts w:hint="eastAsia" w:ascii="Times New Roman"/>
          <w:szCs w:val="21"/>
        </w:rPr>
        <w:t>t为一个检验批，不足5</w:t>
      </w:r>
      <w:r>
        <w:rPr>
          <w:rFonts w:ascii="Times New Roman"/>
          <w:szCs w:val="21"/>
        </w:rPr>
        <w:t>0</w:t>
      </w:r>
      <w:r>
        <w:rPr>
          <w:rFonts w:hint="eastAsia" w:ascii="Times New Roman"/>
          <w:szCs w:val="21"/>
        </w:rPr>
        <w:t>t也按一批计。</w:t>
      </w:r>
    </w:p>
    <w:p>
      <w:pPr>
        <w:pStyle w:val="166"/>
        <w:rPr>
          <w:rFonts w:ascii="Times New Roman"/>
          <w:szCs w:val="21"/>
        </w:rPr>
      </w:pPr>
      <w:bookmarkStart w:id="49" w:name="_Hlk132983750"/>
      <w:r>
        <w:rPr>
          <w:rFonts w:hint="eastAsia" w:ascii="Times New Roman"/>
          <w:szCs w:val="21"/>
        </w:rPr>
        <w:t>拌合水应符合JGJ</w:t>
      </w:r>
      <w:r>
        <w:rPr>
          <w:rFonts w:ascii="Times New Roman"/>
          <w:szCs w:val="21"/>
        </w:rPr>
        <w:t xml:space="preserve"> 63</w:t>
      </w:r>
      <w:r>
        <w:rPr>
          <w:rFonts w:hint="eastAsia" w:ascii="Times New Roman"/>
          <w:szCs w:val="21"/>
        </w:rPr>
        <w:t>中素混凝土拌合用水的要求。当采用地表水、地下水、再生水、砂浆和混凝土企业设备洗刷水作为拌合用水时，还应进行试验确认，满足砂浆性能要求后可方可使用。</w:t>
      </w:r>
    </w:p>
    <w:bookmarkEnd w:id="49"/>
    <w:p>
      <w:pPr>
        <w:pStyle w:val="166"/>
        <w:rPr>
          <w:rFonts w:ascii="Times New Roman"/>
          <w:szCs w:val="21"/>
        </w:rPr>
      </w:pPr>
      <w:r>
        <w:rPr>
          <w:rFonts w:hint="eastAsia" w:ascii="Times New Roman"/>
          <w:szCs w:val="21"/>
        </w:rPr>
        <w:t>地表水检验每6月应不少于一次，地下水检验每年应不少于1次，再生水、砂浆和混凝土企业设备洗刷水检验每3个月应不少于1次，在质量稳定后可1年检验一次。</w:t>
      </w:r>
    </w:p>
    <w:p>
      <w:pPr>
        <w:pStyle w:val="105"/>
        <w:spacing w:before="312" w:after="312"/>
      </w:pPr>
      <w:r>
        <w:rPr>
          <w:rFonts w:hint="eastAsia"/>
        </w:rPr>
        <w:t>生产质量控制</w:t>
      </w:r>
    </w:p>
    <w:p>
      <w:pPr>
        <w:pStyle w:val="106"/>
        <w:spacing w:before="156" w:after="156"/>
      </w:pPr>
      <w:r>
        <w:rPr>
          <w:rFonts w:hint="eastAsia"/>
        </w:rPr>
        <w:t>一般规定</w:t>
      </w:r>
    </w:p>
    <w:p>
      <w:pPr>
        <w:pStyle w:val="166"/>
        <w:rPr>
          <w:rFonts w:ascii="Times New Roman"/>
          <w:szCs w:val="21"/>
        </w:rPr>
      </w:pPr>
      <w:bookmarkStart w:id="50" w:name="_Hlk132985499"/>
      <w:r>
        <w:rPr>
          <w:rFonts w:hint="eastAsia" w:ascii="Times New Roman"/>
          <w:szCs w:val="21"/>
        </w:rPr>
        <w:t>预拌砂浆企业</w:t>
      </w:r>
      <w:r>
        <w:rPr>
          <w:rFonts w:ascii="Times New Roman"/>
          <w:szCs w:val="21"/>
        </w:rPr>
        <w:t>应选用低噪声、低能耗、低排放等技术先进的生产、运输、泵送、试验等仪器设备，</w:t>
      </w:r>
      <w:r>
        <w:rPr>
          <w:rFonts w:hint="eastAsia" w:ascii="Times New Roman"/>
          <w:szCs w:val="21"/>
        </w:rPr>
        <w:t>其生产管理应符合</w:t>
      </w:r>
      <w:bookmarkStart w:id="51" w:name="_Hlk132987076"/>
      <w:r>
        <w:rPr>
          <w:rFonts w:hint="eastAsia" w:ascii="Times New Roman"/>
          <w:szCs w:val="21"/>
        </w:rPr>
        <w:t>DB</w:t>
      </w:r>
      <w:r>
        <w:rPr>
          <w:rFonts w:ascii="Times New Roman"/>
          <w:szCs w:val="21"/>
        </w:rPr>
        <w:t>32/T 3704</w:t>
      </w:r>
      <w:bookmarkEnd w:id="51"/>
      <w:r>
        <w:rPr>
          <w:rFonts w:hint="eastAsia" w:ascii="Times New Roman"/>
          <w:szCs w:val="21"/>
        </w:rPr>
        <w:t>的规定。</w:t>
      </w:r>
    </w:p>
    <w:bookmarkEnd w:id="50"/>
    <w:p>
      <w:pPr>
        <w:pStyle w:val="166"/>
        <w:rPr>
          <w:rFonts w:ascii="Times New Roman"/>
          <w:szCs w:val="21"/>
        </w:rPr>
      </w:pPr>
      <w:r>
        <w:rPr>
          <w:rFonts w:ascii="Times New Roman"/>
          <w:szCs w:val="21"/>
        </w:rPr>
        <w:t>预拌砂浆企业应按照合同约定和标准规定，组织好材料、设备、运输车辆等生产资料，科学生产、合理调度。</w:t>
      </w:r>
    </w:p>
    <w:p>
      <w:pPr>
        <w:pStyle w:val="166"/>
        <w:rPr>
          <w:rFonts w:ascii="Times New Roman"/>
          <w:szCs w:val="21"/>
        </w:rPr>
      </w:pPr>
      <w:r>
        <w:rPr>
          <w:rFonts w:ascii="Times New Roman"/>
          <w:szCs w:val="21"/>
        </w:rPr>
        <w:t>为保证</w:t>
      </w:r>
      <w:r>
        <w:rPr>
          <w:rFonts w:hint="eastAsia" w:ascii="Times New Roman"/>
          <w:szCs w:val="21"/>
        </w:rPr>
        <w:t>预拌砂浆质量</w:t>
      </w:r>
      <w:r>
        <w:rPr>
          <w:rFonts w:ascii="Times New Roman"/>
          <w:szCs w:val="21"/>
        </w:rPr>
        <w:t>，在原材料选用、配合比设计、生产、运输、施工等环节中应严格执行相关标准和规范的要求。</w:t>
      </w:r>
    </w:p>
    <w:p>
      <w:pPr>
        <w:pStyle w:val="106"/>
        <w:spacing w:before="156" w:after="156"/>
      </w:pPr>
      <w:r>
        <w:rPr>
          <w:rFonts w:hint="eastAsia"/>
        </w:rPr>
        <w:t>原材料运输与存储</w:t>
      </w:r>
    </w:p>
    <w:p>
      <w:pPr>
        <w:pStyle w:val="166"/>
        <w:rPr>
          <w:rFonts w:ascii="Times New Roman"/>
          <w:szCs w:val="21"/>
        </w:rPr>
      </w:pPr>
      <w:r>
        <w:rPr>
          <w:rFonts w:ascii="Times New Roman"/>
          <w:szCs w:val="21"/>
        </w:rPr>
        <w:t>各种材料</w:t>
      </w:r>
      <w:r>
        <w:rPr>
          <w:rFonts w:hint="eastAsia" w:ascii="Times New Roman"/>
          <w:szCs w:val="21"/>
        </w:rPr>
        <w:t>运输时宜使用专用车辆，不得混入杂质。</w:t>
      </w:r>
      <w:r>
        <w:rPr>
          <w:rFonts w:ascii="Times New Roman"/>
          <w:szCs w:val="21"/>
        </w:rPr>
        <w:t>流散物体应采用全封闭的车辆运输，且不得遗洒</w:t>
      </w:r>
      <w:r>
        <w:rPr>
          <w:rFonts w:hint="eastAsia" w:ascii="Times New Roman"/>
          <w:szCs w:val="21"/>
        </w:rPr>
        <w:t>，并</w:t>
      </w:r>
      <w:r>
        <w:rPr>
          <w:rFonts w:ascii="Times New Roman"/>
          <w:szCs w:val="21"/>
        </w:rPr>
        <w:t>应采取适当</w:t>
      </w:r>
      <w:r>
        <w:rPr>
          <w:rFonts w:hint="eastAsia" w:ascii="Times New Roman"/>
          <w:szCs w:val="21"/>
        </w:rPr>
        <w:t>措施降低</w:t>
      </w:r>
      <w:r>
        <w:rPr>
          <w:rFonts w:ascii="Times New Roman"/>
          <w:szCs w:val="21"/>
        </w:rPr>
        <w:t>装料和卸料</w:t>
      </w:r>
      <w:r>
        <w:rPr>
          <w:rFonts w:hint="eastAsia" w:ascii="Times New Roman"/>
          <w:szCs w:val="21"/>
        </w:rPr>
        <w:t>过程中的噪声和粉尘</w:t>
      </w:r>
      <w:r>
        <w:rPr>
          <w:rFonts w:ascii="Times New Roman"/>
          <w:szCs w:val="21"/>
        </w:rPr>
        <w:t>。</w:t>
      </w:r>
    </w:p>
    <w:p>
      <w:pPr>
        <w:pStyle w:val="166"/>
        <w:rPr>
          <w:rFonts w:ascii="Times New Roman"/>
          <w:szCs w:val="21"/>
        </w:rPr>
      </w:pPr>
      <w:r>
        <w:rPr>
          <w:rFonts w:hint="eastAsia" w:ascii="Times New Roman"/>
          <w:szCs w:val="21"/>
        </w:rPr>
        <w:t>原材料存储时</w:t>
      </w:r>
      <w:r>
        <w:rPr>
          <w:rFonts w:ascii="Times New Roman"/>
          <w:szCs w:val="21"/>
        </w:rPr>
        <w:t>应分仓堆放</w:t>
      </w:r>
      <w:r>
        <w:rPr>
          <w:rFonts w:hint="eastAsia" w:ascii="Times New Roman"/>
          <w:szCs w:val="21"/>
        </w:rPr>
        <w:t>并设置</w:t>
      </w:r>
      <w:r>
        <w:rPr>
          <w:rFonts w:ascii="Times New Roman"/>
          <w:szCs w:val="21"/>
        </w:rPr>
        <w:t>明显标识</w:t>
      </w:r>
      <w:r>
        <w:rPr>
          <w:rFonts w:hint="eastAsia" w:ascii="Times New Roman"/>
          <w:szCs w:val="21"/>
        </w:rPr>
        <w:t>，且应符合下列规定：</w:t>
      </w:r>
    </w:p>
    <w:p>
      <w:pPr>
        <w:pStyle w:val="166"/>
        <w:numPr>
          <w:ilvl w:val="0"/>
          <w:numId w:val="33"/>
        </w:numPr>
        <w:rPr>
          <w:rFonts w:ascii="Times New Roman"/>
          <w:szCs w:val="21"/>
        </w:rPr>
      </w:pPr>
      <w:r>
        <w:rPr>
          <w:rFonts w:ascii="Times New Roman"/>
          <w:szCs w:val="21"/>
        </w:rPr>
        <w:t>水泥应按生产厂家、水泥品种及强度等级分别贮存，并应有防潮、防水、</w:t>
      </w:r>
      <w:r>
        <w:rPr>
          <w:rFonts w:hint="eastAsia" w:ascii="Times New Roman"/>
          <w:szCs w:val="21"/>
        </w:rPr>
        <w:t>防尘、</w:t>
      </w:r>
      <w:r>
        <w:rPr>
          <w:rFonts w:ascii="Times New Roman"/>
          <w:szCs w:val="21"/>
        </w:rPr>
        <w:t>防污染、防雷措施</w:t>
      </w:r>
      <w:r>
        <w:rPr>
          <w:rFonts w:hint="eastAsia" w:ascii="Times New Roman"/>
          <w:szCs w:val="21"/>
        </w:rPr>
        <w:t>；</w:t>
      </w:r>
    </w:p>
    <w:p>
      <w:pPr>
        <w:pStyle w:val="166"/>
        <w:numPr>
          <w:ilvl w:val="0"/>
          <w:numId w:val="33"/>
        </w:numPr>
        <w:rPr>
          <w:rFonts w:ascii="Times New Roman"/>
          <w:szCs w:val="21"/>
        </w:rPr>
      </w:pPr>
      <w:r>
        <w:rPr>
          <w:rFonts w:ascii="Times New Roman"/>
          <w:szCs w:val="21"/>
        </w:rPr>
        <w:t>细</w:t>
      </w:r>
      <w:r>
        <w:rPr>
          <w:rFonts w:hint="eastAsia" w:ascii="Times New Roman"/>
          <w:szCs w:val="21"/>
        </w:rPr>
        <w:t>骨</w:t>
      </w:r>
      <w:r>
        <w:rPr>
          <w:rFonts w:ascii="Times New Roman"/>
          <w:szCs w:val="21"/>
        </w:rPr>
        <w:t>料应按品种、规格分别贮存于配备雨棚和挡风墙的堆场，贮存过程中应保证其均匀性，不应混入杂物。湿拌砂浆用细骨料贮存的地面应为能够排水的硬质地面</w:t>
      </w:r>
      <w:r>
        <w:rPr>
          <w:rFonts w:hint="eastAsia" w:ascii="Times New Roman"/>
          <w:szCs w:val="21"/>
        </w:rPr>
        <w:t>。</w:t>
      </w:r>
      <w:r>
        <w:rPr>
          <w:rFonts w:ascii="Times New Roman"/>
          <w:szCs w:val="21"/>
        </w:rPr>
        <w:t>干混砂浆用细骨料应进行烘干处理，必要时可进行筛分处理</w:t>
      </w:r>
      <w:r>
        <w:rPr>
          <w:rFonts w:hint="eastAsia" w:ascii="Times New Roman"/>
          <w:szCs w:val="21"/>
        </w:rPr>
        <w:t>，</w:t>
      </w:r>
      <w:r>
        <w:rPr>
          <w:rFonts w:ascii="Times New Roman"/>
          <w:szCs w:val="21"/>
        </w:rPr>
        <w:t>处理后的细骨料应贮存在封闭筒仓或容器中</w:t>
      </w:r>
      <w:r>
        <w:rPr>
          <w:rFonts w:hint="eastAsia" w:ascii="Times New Roman"/>
          <w:szCs w:val="21"/>
        </w:rPr>
        <w:t>；</w:t>
      </w:r>
    </w:p>
    <w:p>
      <w:pPr>
        <w:pStyle w:val="166"/>
        <w:numPr>
          <w:ilvl w:val="0"/>
          <w:numId w:val="33"/>
        </w:numPr>
        <w:rPr>
          <w:rFonts w:ascii="Times New Roman"/>
          <w:szCs w:val="21"/>
        </w:rPr>
      </w:pPr>
      <w:r>
        <w:rPr>
          <w:rFonts w:ascii="Times New Roman"/>
          <w:szCs w:val="21"/>
        </w:rPr>
        <w:t>矿物掺合料</w:t>
      </w:r>
      <w:r>
        <w:rPr>
          <w:rFonts w:hint="eastAsia" w:ascii="Times New Roman"/>
          <w:szCs w:val="21"/>
        </w:rPr>
        <w:t>和填料</w:t>
      </w:r>
      <w:r>
        <w:rPr>
          <w:rFonts w:ascii="Times New Roman"/>
          <w:szCs w:val="21"/>
        </w:rPr>
        <w:t>应按生产厂家、品种、级别分别贮存，不应与水泥等其他粉状材料混杂</w:t>
      </w:r>
      <w:r>
        <w:rPr>
          <w:rFonts w:hint="eastAsia" w:ascii="Times New Roman"/>
          <w:szCs w:val="21"/>
        </w:rPr>
        <w:t>；</w:t>
      </w:r>
    </w:p>
    <w:p>
      <w:pPr>
        <w:pStyle w:val="166"/>
        <w:numPr>
          <w:ilvl w:val="0"/>
          <w:numId w:val="33"/>
        </w:numPr>
        <w:rPr>
          <w:rFonts w:ascii="Times New Roman"/>
          <w:szCs w:val="21"/>
        </w:rPr>
      </w:pPr>
      <w:r>
        <w:rPr>
          <w:rFonts w:hint="eastAsia" w:ascii="Times New Roman"/>
          <w:szCs w:val="21"/>
        </w:rPr>
        <w:t>砂浆</w:t>
      </w:r>
      <w:r>
        <w:rPr>
          <w:rFonts w:ascii="Times New Roman"/>
          <w:szCs w:val="21"/>
        </w:rPr>
        <w:t>外加剂等应按生产厂家、品种分别贮存，并应</w:t>
      </w:r>
      <w:r>
        <w:rPr>
          <w:rFonts w:hint="eastAsia" w:ascii="Times New Roman"/>
          <w:szCs w:val="21"/>
        </w:rPr>
        <w:t>采取</w:t>
      </w:r>
      <w:r>
        <w:rPr>
          <w:rFonts w:ascii="Times New Roman"/>
          <w:szCs w:val="21"/>
        </w:rPr>
        <w:t>防止质量发生变化的措施。液体外加剂应采用密闭容器储存，并有防沉淀、防渗漏措施。</w:t>
      </w:r>
    </w:p>
    <w:p>
      <w:pPr>
        <w:pStyle w:val="166"/>
        <w:rPr>
          <w:rFonts w:ascii="Times New Roman"/>
          <w:szCs w:val="21"/>
        </w:rPr>
      </w:pPr>
      <w:r>
        <w:rPr>
          <w:rFonts w:ascii="Times New Roman"/>
          <w:szCs w:val="21"/>
        </w:rPr>
        <w:t>粉料筒仓应有料位控制指示系统</w:t>
      </w:r>
      <w:r>
        <w:rPr>
          <w:rFonts w:hint="eastAsia" w:ascii="Times New Roman"/>
          <w:szCs w:val="21"/>
        </w:rPr>
        <w:t>和除尘设施</w:t>
      </w:r>
      <w:r>
        <w:rPr>
          <w:rFonts w:ascii="Times New Roman"/>
          <w:szCs w:val="21"/>
        </w:rPr>
        <w:t>，粉料筒仓吹灰管应采用硬式密闭接口。</w:t>
      </w:r>
    </w:p>
    <w:p>
      <w:pPr>
        <w:pStyle w:val="106"/>
        <w:spacing w:before="156" w:after="156"/>
      </w:pPr>
      <w:r>
        <w:rPr>
          <w:rFonts w:hint="eastAsia"/>
        </w:rPr>
        <w:t>生产管理</w:t>
      </w:r>
    </w:p>
    <w:p>
      <w:pPr>
        <w:pStyle w:val="166"/>
        <w:rPr>
          <w:rFonts w:ascii="Times New Roman"/>
          <w:szCs w:val="21"/>
        </w:rPr>
      </w:pPr>
      <w:r>
        <w:rPr>
          <w:rFonts w:hint="eastAsia" w:ascii="Times New Roman"/>
          <w:szCs w:val="21"/>
        </w:rPr>
        <w:t>预拌砂浆的配合比设计应根据砂浆强度等级、砂浆品种、施工性能、收缩性能和耐久性能等要求，在满足设计和施工要求下，遵循低水泥用量、低用水量和低收缩率原则进行设计。</w:t>
      </w:r>
    </w:p>
    <w:p>
      <w:pPr>
        <w:pStyle w:val="166"/>
        <w:rPr>
          <w:rFonts w:ascii="Times New Roman"/>
          <w:szCs w:val="21"/>
        </w:rPr>
      </w:pPr>
      <w:r>
        <w:rPr>
          <w:rFonts w:ascii="Times New Roman"/>
          <w:szCs w:val="21"/>
        </w:rPr>
        <w:t>砌筑砂浆配合比设计</w:t>
      </w:r>
      <w:r>
        <w:rPr>
          <w:rFonts w:hint="eastAsia" w:ascii="Times New Roman"/>
          <w:szCs w:val="21"/>
        </w:rPr>
        <w:t>应符合</w:t>
      </w:r>
      <w:r>
        <w:rPr>
          <w:rFonts w:ascii="Times New Roman"/>
          <w:szCs w:val="21"/>
        </w:rPr>
        <w:t>JGJ/T 98的规定</w:t>
      </w:r>
      <w:r>
        <w:rPr>
          <w:rFonts w:hint="eastAsia" w:ascii="Times New Roman"/>
          <w:szCs w:val="21"/>
        </w:rPr>
        <w:t>，</w:t>
      </w:r>
      <w:r>
        <w:rPr>
          <w:rFonts w:ascii="Times New Roman"/>
          <w:szCs w:val="21"/>
        </w:rPr>
        <w:t>抹灰砂浆配合比设计</w:t>
      </w:r>
      <w:r>
        <w:rPr>
          <w:rFonts w:hint="eastAsia" w:ascii="Times New Roman"/>
          <w:szCs w:val="21"/>
        </w:rPr>
        <w:t>应符合</w:t>
      </w:r>
      <w:r>
        <w:rPr>
          <w:rFonts w:ascii="Times New Roman"/>
          <w:szCs w:val="21"/>
        </w:rPr>
        <w:t>JGJ/T</w:t>
      </w:r>
      <w:r>
        <w:rPr>
          <w:rFonts w:hint="eastAsia" w:ascii="Times New Roman"/>
          <w:szCs w:val="21"/>
        </w:rPr>
        <w:t xml:space="preserve"> </w:t>
      </w:r>
      <w:r>
        <w:rPr>
          <w:rFonts w:ascii="Times New Roman"/>
          <w:szCs w:val="21"/>
        </w:rPr>
        <w:t>220的规定</w:t>
      </w:r>
      <w:r>
        <w:rPr>
          <w:rFonts w:hint="eastAsia" w:ascii="Times New Roman"/>
          <w:szCs w:val="21"/>
        </w:rPr>
        <w:t>。用于外墙抹灰或有抗渗要求的预拌砂浆，其胶凝材料用量宜不少于250kg/m</w:t>
      </w:r>
      <w:r>
        <w:rPr>
          <w:rFonts w:hint="eastAsia" w:ascii="Times New Roman"/>
          <w:szCs w:val="21"/>
          <w:vertAlign w:val="superscript"/>
        </w:rPr>
        <w:t>3</w:t>
      </w:r>
      <w:r>
        <w:rPr>
          <w:rFonts w:hint="eastAsia" w:ascii="Times New Roman"/>
          <w:szCs w:val="21"/>
        </w:rPr>
        <w:t>。</w:t>
      </w:r>
    </w:p>
    <w:p>
      <w:pPr>
        <w:pStyle w:val="166"/>
        <w:rPr>
          <w:rFonts w:ascii="Times New Roman"/>
          <w:szCs w:val="21"/>
        </w:rPr>
      </w:pPr>
      <w:r>
        <w:rPr>
          <w:rFonts w:ascii="Times New Roman"/>
          <w:szCs w:val="21"/>
        </w:rPr>
        <w:t>预拌砂浆生产配合比确定应符合下列规定：</w:t>
      </w:r>
    </w:p>
    <w:p>
      <w:pPr>
        <w:pStyle w:val="166"/>
        <w:numPr>
          <w:ilvl w:val="0"/>
          <w:numId w:val="34"/>
        </w:numPr>
        <w:rPr>
          <w:rFonts w:ascii="Times New Roman"/>
          <w:szCs w:val="21"/>
        </w:rPr>
      </w:pPr>
      <w:r>
        <w:rPr>
          <w:rFonts w:ascii="Times New Roman"/>
          <w:szCs w:val="21"/>
        </w:rPr>
        <w:t>预拌砂浆配合比必须按绝对体积法设计计算并经试配调整，结果用质量比表示</w:t>
      </w:r>
      <w:r>
        <w:rPr>
          <w:rFonts w:hint="eastAsia" w:ascii="Times New Roman"/>
          <w:szCs w:val="21"/>
        </w:rPr>
        <w:t>；</w:t>
      </w:r>
    </w:p>
    <w:p>
      <w:pPr>
        <w:pStyle w:val="166"/>
        <w:numPr>
          <w:ilvl w:val="0"/>
          <w:numId w:val="34"/>
        </w:numPr>
        <w:rPr>
          <w:rFonts w:ascii="Times New Roman"/>
          <w:szCs w:val="21"/>
        </w:rPr>
      </w:pPr>
      <w:r>
        <w:rPr>
          <w:rFonts w:hint="eastAsia" w:ascii="Times New Roman"/>
          <w:szCs w:val="21"/>
        </w:rPr>
        <w:t>应选定符合试配强度、表观密度及和易性要求，胶凝材料用量最低的配合比作为生产配合比；</w:t>
      </w:r>
    </w:p>
    <w:p>
      <w:pPr>
        <w:pStyle w:val="166"/>
        <w:numPr>
          <w:ilvl w:val="0"/>
          <w:numId w:val="34"/>
        </w:numPr>
        <w:rPr>
          <w:rFonts w:ascii="Times New Roman"/>
          <w:szCs w:val="21"/>
        </w:rPr>
      </w:pPr>
      <w:r>
        <w:rPr>
          <w:rFonts w:ascii="Times New Roman"/>
          <w:szCs w:val="21"/>
        </w:rPr>
        <w:t>生产厂家应根据试验结果，明确干拌砂浆加水量范围。在确定湿拌砂浆稠度时应考虑砂浆在运输和储存过程中的损失</w:t>
      </w:r>
      <w:r>
        <w:rPr>
          <w:rFonts w:hint="eastAsia" w:ascii="Times New Roman"/>
          <w:szCs w:val="21"/>
        </w:rPr>
        <w:t>；</w:t>
      </w:r>
    </w:p>
    <w:p>
      <w:pPr>
        <w:pStyle w:val="166"/>
        <w:numPr>
          <w:ilvl w:val="0"/>
          <w:numId w:val="34"/>
        </w:numPr>
        <w:rPr>
          <w:rFonts w:ascii="Times New Roman"/>
          <w:szCs w:val="21"/>
        </w:rPr>
      </w:pPr>
      <w:r>
        <w:rPr>
          <w:rFonts w:ascii="Times New Roman"/>
          <w:szCs w:val="21"/>
        </w:rPr>
        <w:t>当砂浆的组成材料有变更时，其配合比应重新确定。</w:t>
      </w:r>
    </w:p>
    <w:p>
      <w:pPr>
        <w:pStyle w:val="166"/>
        <w:rPr>
          <w:rFonts w:ascii="Times New Roman"/>
          <w:szCs w:val="21"/>
        </w:rPr>
      </w:pPr>
      <w:r>
        <w:rPr>
          <w:rFonts w:hint="eastAsia" w:ascii="Times New Roman"/>
          <w:szCs w:val="21"/>
        </w:rPr>
        <w:t>预拌砂浆生产配料应采用计算机自动控制的配料系统，且能满足不同配合比、不同品种砂浆的生产要求，并应具有实时逐盘记录和储存功能</w:t>
      </w:r>
      <w:r>
        <w:rPr>
          <w:rFonts w:ascii="Times New Roman"/>
          <w:szCs w:val="21"/>
        </w:rPr>
        <w:t>。</w:t>
      </w:r>
    </w:p>
    <w:p>
      <w:pPr>
        <w:pStyle w:val="166"/>
        <w:rPr>
          <w:rFonts w:ascii="Times New Roman"/>
          <w:szCs w:val="21"/>
        </w:rPr>
      </w:pPr>
      <w:r>
        <w:rPr>
          <w:rFonts w:ascii="Times New Roman"/>
          <w:szCs w:val="21"/>
        </w:rPr>
        <w:t>粉料上料宜采用压缩空气输送，上料过程应有专人监控。不宜使用大宗袋装粉料，确需使用的应采取有效的防尘措施。</w:t>
      </w:r>
    </w:p>
    <w:p>
      <w:pPr>
        <w:pStyle w:val="166"/>
        <w:rPr>
          <w:rFonts w:ascii="Times New Roman"/>
          <w:szCs w:val="21"/>
        </w:rPr>
      </w:pPr>
      <w:r>
        <w:rPr>
          <w:rFonts w:hint="eastAsia" w:ascii="Times New Roman"/>
          <w:szCs w:val="21"/>
        </w:rPr>
        <w:t>生产过程</w:t>
      </w:r>
      <w:r>
        <w:rPr>
          <w:rFonts w:ascii="Times New Roman"/>
          <w:szCs w:val="21"/>
        </w:rPr>
        <w:t>应避免对周围环境的污染，所有材料的输送及计量工序均应在密闭状态下进行，并应有收尘装置。</w:t>
      </w:r>
    </w:p>
    <w:p>
      <w:pPr>
        <w:pStyle w:val="166"/>
        <w:rPr>
          <w:rFonts w:ascii="Times New Roman"/>
          <w:szCs w:val="21"/>
        </w:rPr>
      </w:pPr>
      <w:r>
        <w:rPr>
          <w:rFonts w:hint="eastAsia" w:ascii="Times New Roman"/>
          <w:szCs w:val="21"/>
        </w:rPr>
        <w:t>计量设备应定期进行校验并满足计量精度要求，原材料的</w:t>
      </w:r>
      <w:r>
        <w:rPr>
          <w:rFonts w:ascii="Times New Roman"/>
          <w:szCs w:val="21"/>
        </w:rPr>
        <w:t>允许</w:t>
      </w:r>
      <w:r>
        <w:rPr>
          <w:rFonts w:hint="eastAsia" w:ascii="Times New Roman"/>
          <w:szCs w:val="21"/>
        </w:rPr>
        <w:t>计量</w:t>
      </w:r>
      <w:r>
        <w:rPr>
          <w:rFonts w:ascii="Times New Roman"/>
          <w:szCs w:val="21"/>
        </w:rPr>
        <w:t>偏差应符合表</w:t>
      </w:r>
      <w:r>
        <w:rPr>
          <w:rFonts w:hint="eastAsia" w:ascii="Times New Roman"/>
          <w:szCs w:val="21"/>
        </w:rPr>
        <w:t>10、表11</w:t>
      </w:r>
      <w:r>
        <w:rPr>
          <w:rFonts w:ascii="Times New Roman"/>
          <w:szCs w:val="21"/>
        </w:rPr>
        <w:t>和</w:t>
      </w:r>
      <w:r>
        <w:rPr>
          <w:rFonts w:hint="eastAsia" w:ascii="Times New Roman"/>
          <w:szCs w:val="21"/>
        </w:rPr>
        <w:t>表12</w:t>
      </w:r>
      <w:r>
        <w:rPr>
          <w:rFonts w:ascii="Times New Roman"/>
          <w:szCs w:val="21"/>
        </w:rPr>
        <w:t>的规定。</w:t>
      </w:r>
    </w:p>
    <w:p>
      <w:pPr>
        <w:pStyle w:val="166"/>
        <w:numPr>
          <w:ilvl w:val="0"/>
          <w:numId w:val="0"/>
        </w:numPr>
        <w:spacing w:before="156" w:beforeLines="50" w:after="156" w:afterLines="50"/>
        <w:jc w:val="center"/>
        <w:rPr>
          <w:rFonts w:ascii="Times New Roman" w:eastAsia="黑体"/>
          <w:szCs w:val="21"/>
        </w:rPr>
      </w:pPr>
      <w:r>
        <w:rPr>
          <w:rFonts w:ascii="Times New Roman" w:eastAsia="黑体"/>
          <w:szCs w:val="21"/>
        </w:rPr>
        <w:t>表</w:t>
      </w:r>
      <w:r>
        <w:rPr>
          <w:rFonts w:hint="eastAsia" w:ascii="Times New Roman" w:eastAsia="黑体"/>
          <w:szCs w:val="21"/>
        </w:rPr>
        <w:t>10</w:t>
      </w:r>
      <w:r>
        <w:rPr>
          <w:rFonts w:ascii="Times New Roman" w:eastAsia="黑体"/>
          <w:szCs w:val="21"/>
        </w:rPr>
        <w:t xml:space="preserve"> 干混砂浆主要原材料计量允许偏差</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188"/>
        <w:gridCol w:w="3191"/>
        <w:gridCol w:w="31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666" w:type="pct"/>
            <w:tcBorders>
              <w:top w:val="single" w:color="000000" w:sz="12" w:space="0"/>
              <w:left w:val="single" w:color="000000" w:sz="12" w:space="0"/>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原材料</w:t>
            </w:r>
          </w:p>
        </w:tc>
        <w:tc>
          <w:tcPr>
            <w:tcW w:w="1667" w:type="pct"/>
            <w:tcBorders>
              <w:top w:val="single" w:color="000000" w:sz="12" w:space="0"/>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单次计量值</w:t>
            </w:r>
            <w:r>
              <w:rPr>
                <w:rFonts w:hint="eastAsia" w:ascii="Times New Roman" w:hAnsi="Times New Roman"/>
                <w:sz w:val="18"/>
                <w:szCs w:val="18"/>
              </w:rPr>
              <w:t>≤</w:t>
            </w:r>
            <w:r>
              <w:rPr>
                <w:rFonts w:ascii="Times New Roman" w:hAnsi="Times New Roman"/>
                <w:sz w:val="18"/>
                <w:szCs w:val="18"/>
              </w:rPr>
              <w:t>500kg</w:t>
            </w:r>
          </w:p>
        </w:tc>
        <w:tc>
          <w:tcPr>
            <w:tcW w:w="1667" w:type="pct"/>
            <w:tcBorders>
              <w:top w:val="single" w:color="000000" w:sz="12" w:space="0"/>
              <w:bottom w:val="single" w:color="000000" w:sz="12" w:space="0"/>
              <w:right w:val="single" w:color="000000"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单次计量值＞500kg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666" w:type="pct"/>
            <w:tcBorders>
              <w:top w:val="single" w:color="000000" w:sz="12" w:space="0"/>
              <w:left w:val="single" w:color="000000" w:sz="12" w:space="0"/>
              <w:bottom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单一胶凝材料、</w:t>
            </w:r>
            <w:r>
              <w:rPr>
                <w:rFonts w:hint="eastAsia" w:ascii="Times New Roman" w:hAnsi="Times New Roman"/>
                <w:sz w:val="18"/>
                <w:szCs w:val="18"/>
              </w:rPr>
              <w:t>填料</w:t>
            </w:r>
          </w:p>
        </w:tc>
        <w:tc>
          <w:tcPr>
            <w:tcW w:w="1667" w:type="pct"/>
            <w:tcBorders>
              <w:top w:val="single" w:color="000000" w:sz="12" w:space="0"/>
              <w:bottom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±5kg</w:t>
            </w:r>
          </w:p>
        </w:tc>
        <w:tc>
          <w:tcPr>
            <w:tcW w:w="1667" w:type="pct"/>
            <w:tcBorders>
              <w:top w:val="single" w:color="000000" w:sz="12" w:space="0"/>
              <w:bottom w:val="single" w:color="000000" w:sz="4" w:space="0"/>
              <w:right w:val="single" w:color="000000"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666" w:type="pct"/>
            <w:tcBorders>
              <w:left w:val="single" w:color="000000" w:sz="12" w:space="0"/>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细</w:t>
            </w:r>
            <w:r>
              <w:rPr>
                <w:rFonts w:ascii="Times New Roman" w:hAnsi="Times New Roman"/>
                <w:sz w:val="18"/>
                <w:szCs w:val="18"/>
              </w:rPr>
              <w:t>骨料</w:t>
            </w:r>
          </w:p>
        </w:tc>
        <w:tc>
          <w:tcPr>
            <w:tcW w:w="1667" w:type="pct"/>
            <w:tcBorders>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±10kg</w:t>
            </w:r>
          </w:p>
        </w:tc>
        <w:tc>
          <w:tcPr>
            <w:tcW w:w="1667" w:type="pct"/>
            <w:tcBorders>
              <w:bottom w:val="single" w:color="000000" w:sz="12" w:space="0"/>
              <w:right w:val="single" w:color="000000"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±2%</w:t>
            </w:r>
          </w:p>
        </w:tc>
      </w:tr>
    </w:tbl>
    <w:p>
      <w:pPr>
        <w:pStyle w:val="166"/>
        <w:numPr>
          <w:ilvl w:val="0"/>
          <w:numId w:val="0"/>
        </w:numPr>
        <w:spacing w:before="156" w:beforeLines="50" w:after="156" w:afterLines="50"/>
        <w:jc w:val="center"/>
        <w:rPr>
          <w:rFonts w:ascii="Times New Roman" w:eastAsia="黑体"/>
          <w:szCs w:val="21"/>
        </w:rPr>
      </w:pPr>
      <w:r>
        <w:rPr>
          <w:rFonts w:ascii="Times New Roman" w:eastAsia="黑体"/>
          <w:szCs w:val="21"/>
        </w:rPr>
        <w:t>表</w:t>
      </w:r>
      <w:r>
        <w:rPr>
          <w:rFonts w:hint="eastAsia" w:ascii="Times New Roman" w:eastAsia="黑体"/>
          <w:szCs w:val="21"/>
        </w:rPr>
        <w:t>11</w:t>
      </w:r>
      <w:r>
        <w:rPr>
          <w:rFonts w:ascii="Times New Roman" w:eastAsia="黑体"/>
          <w:szCs w:val="21"/>
        </w:rPr>
        <w:t xml:space="preserve"> 干混砂浆外加剂</w:t>
      </w:r>
      <w:r>
        <w:rPr>
          <w:rFonts w:hint="eastAsia" w:ascii="Times New Roman" w:eastAsia="黑体"/>
          <w:szCs w:val="21"/>
        </w:rPr>
        <w:t>和纤维</w:t>
      </w:r>
      <w:r>
        <w:rPr>
          <w:rFonts w:ascii="Times New Roman" w:eastAsia="黑体"/>
          <w:szCs w:val="21"/>
        </w:rPr>
        <w:t>计量允许偏差</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92"/>
        <w:gridCol w:w="2392"/>
        <w:gridCol w:w="2393"/>
        <w:gridCol w:w="2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50" w:type="pct"/>
            <w:tcBorders>
              <w:top w:val="single" w:color="000000" w:sz="12" w:space="0"/>
              <w:left w:val="single" w:color="000000" w:sz="12" w:space="0"/>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单次计量值W/kg</w:t>
            </w:r>
          </w:p>
        </w:tc>
        <w:tc>
          <w:tcPr>
            <w:tcW w:w="1250" w:type="pct"/>
            <w:tcBorders>
              <w:top w:val="single" w:color="000000" w:sz="12" w:space="0"/>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W＜1</w:t>
            </w:r>
          </w:p>
        </w:tc>
        <w:tc>
          <w:tcPr>
            <w:tcW w:w="1250" w:type="pct"/>
            <w:tcBorders>
              <w:top w:val="single" w:color="000000" w:sz="12" w:space="0"/>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1≤W≤10</w:t>
            </w:r>
          </w:p>
        </w:tc>
        <w:tc>
          <w:tcPr>
            <w:tcW w:w="1250" w:type="pct"/>
            <w:tcBorders>
              <w:top w:val="single" w:color="000000" w:sz="12" w:space="0"/>
              <w:bottom w:val="single" w:color="000000" w:sz="12" w:space="0"/>
              <w:right w:val="single" w:color="000000"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W＞10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50" w:type="pct"/>
            <w:tcBorders>
              <w:top w:val="single" w:color="000000" w:sz="12" w:space="0"/>
              <w:left w:val="single" w:color="000000" w:sz="12" w:space="0"/>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允许偏差/g</w:t>
            </w:r>
          </w:p>
        </w:tc>
        <w:tc>
          <w:tcPr>
            <w:tcW w:w="1250" w:type="pct"/>
            <w:tcBorders>
              <w:top w:val="single" w:color="000000" w:sz="12" w:space="0"/>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±30</w:t>
            </w:r>
          </w:p>
        </w:tc>
        <w:tc>
          <w:tcPr>
            <w:tcW w:w="1250" w:type="pct"/>
            <w:tcBorders>
              <w:top w:val="single" w:color="000000" w:sz="12" w:space="0"/>
              <w:bottom w:val="single" w:color="000000"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±50</w:t>
            </w:r>
          </w:p>
        </w:tc>
        <w:tc>
          <w:tcPr>
            <w:tcW w:w="1250" w:type="pct"/>
            <w:tcBorders>
              <w:top w:val="single" w:color="000000" w:sz="12" w:space="0"/>
              <w:bottom w:val="single" w:color="000000" w:sz="12" w:space="0"/>
              <w:right w:val="single" w:color="000000" w:sz="12"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±200</w:t>
            </w:r>
          </w:p>
        </w:tc>
      </w:tr>
    </w:tbl>
    <w:p>
      <w:pPr>
        <w:pStyle w:val="166"/>
        <w:numPr>
          <w:ilvl w:val="0"/>
          <w:numId w:val="0"/>
        </w:numPr>
        <w:spacing w:before="156" w:beforeLines="50" w:after="156" w:afterLines="50"/>
        <w:jc w:val="center"/>
        <w:rPr>
          <w:rFonts w:ascii="Times New Roman" w:eastAsia="黑体"/>
          <w:szCs w:val="21"/>
        </w:rPr>
      </w:pPr>
      <w:r>
        <w:rPr>
          <w:rFonts w:ascii="Times New Roman" w:eastAsia="黑体"/>
          <w:szCs w:val="21"/>
        </w:rPr>
        <w:t>表</w:t>
      </w:r>
      <w:r>
        <w:rPr>
          <w:rFonts w:hint="eastAsia" w:ascii="Times New Roman" w:eastAsia="黑体"/>
          <w:szCs w:val="21"/>
        </w:rPr>
        <w:t>12</w:t>
      </w:r>
      <w:r>
        <w:rPr>
          <w:rFonts w:ascii="Times New Roman" w:eastAsia="黑体"/>
          <w:szCs w:val="21"/>
        </w:rPr>
        <w:t xml:space="preserve"> 湿拌砂浆计量允许偏差</w:t>
      </w:r>
      <w:r>
        <w:rPr>
          <w:rFonts w:hint="eastAsia" w:ascii="Times New Roman" w:eastAsia="黑体"/>
          <w:szCs w:val="21"/>
        </w:rPr>
        <w:t>（</w:t>
      </w:r>
      <w:r>
        <w:rPr>
          <w:rFonts w:ascii="Times New Roman" w:eastAsia="黑体"/>
          <w:szCs w:val="21"/>
        </w:rPr>
        <w:t>%</w:t>
      </w:r>
      <w:r>
        <w:rPr>
          <w:rFonts w:hint="eastAsia" w:ascii="Times New Roman" w:eastAsia="黑体"/>
          <w:szCs w:val="21"/>
        </w:rPr>
        <w:t>）</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192"/>
        <w:gridCol w:w="1035"/>
        <w:gridCol w:w="1035"/>
        <w:gridCol w:w="2069"/>
        <w:gridCol w:w="953"/>
        <w:gridCol w:w="1099"/>
        <w:gridCol w:w="11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145" w:type="pct"/>
            <w:tcBorders>
              <w:top w:val="single" w:color="000000" w:sz="12" w:space="0"/>
              <w:left w:val="single" w:color="000000" w:sz="12" w:space="0"/>
              <w:bottom w:val="single" w:color="000000" w:sz="12"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材料品种</w:t>
            </w:r>
          </w:p>
        </w:tc>
        <w:tc>
          <w:tcPr>
            <w:tcW w:w="541" w:type="pct"/>
            <w:tcBorders>
              <w:top w:val="single" w:color="000000" w:sz="12" w:space="0"/>
              <w:bottom w:val="single" w:color="000000" w:sz="12"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水泥</w:t>
            </w:r>
          </w:p>
        </w:tc>
        <w:tc>
          <w:tcPr>
            <w:tcW w:w="541" w:type="pct"/>
            <w:tcBorders>
              <w:top w:val="single" w:color="000000" w:sz="12" w:space="0"/>
              <w:left w:val="single" w:color="auto" w:sz="4" w:space="0"/>
              <w:bottom w:val="single" w:color="000000"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细骨料</w:t>
            </w:r>
          </w:p>
        </w:tc>
        <w:tc>
          <w:tcPr>
            <w:tcW w:w="1081" w:type="pct"/>
            <w:tcBorders>
              <w:top w:val="single" w:color="000000" w:sz="12" w:space="0"/>
              <w:bottom w:val="single" w:color="000000"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矿物掺合料</w:t>
            </w:r>
            <w:r>
              <w:rPr>
                <w:rFonts w:hint="eastAsia" w:ascii="Times New Roman" w:hAnsi="Times New Roman"/>
                <w:sz w:val="18"/>
                <w:szCs w:val="18"/>
              </w:rPr>
              <w:t>/填料</w:t>
            </w:r>
          </w:p>
        </w:tc>
        <w:tc>
          <w:tcPr>
            <w:tcW w:w="498" w:type="pct"/>
            <w:tcBorders>
              <w:top w:val="single" w:color="000000" w:sz="12" w:space="0"/>
              <w:bottom w:val="single" w:color="000000" w:sz="12"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外加剂</w:t>
            </w:r>
          </w:p>
        </w:tc>
        <w:tc>
          <w:tcPr>
            <w:tcW w:w="574" w:type="pct"/>
            <w:tcBorders>
              <w:top w:val="single" w:color="000000" w:sz="12" w:space="0"/>
              <w:bottom w:val="single" w:color="000000" w:sz="12"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纤维</w:t>
            </w:r>
          </w:p>
        </w:tc>
        <w:tc>
          <w:tcPr>
            <w:tcW w:w="620" w:type="pct"/>
            <w:tcBorders>
              <w:top w:val="single" w:color="000000" w:sz="12" w:space="0"/>
              <w:bottom w:val="single" w:color="000000" w:sz="12" w:space="0"/>
              <w:right w:val="single" w:color="000000"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145" w:type="pct"/>
            <w:tcBorders>
              <w:top w:val="single" w:color="000000" w:sz="12" w:space="0"/>
              <w:left w:val="single" w:color="000000" w:sz="12" w:space="0"/>
              <w:bottom w:val="single" w:color="000000" w:sz="4"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每盘计量允许偏差</w:t>
            </w:r>
          </w:p>
        </w:tc>
        <w:tc>
          <w:tcPr>
            <w:tcW w:w="541" w:type="pct"/>
            <w:tcBorders>
              <w:top w:val="single" w:color="000000" w:sz="12" w:space="0"/>
              <w:bottom w:val="single" w:color="000000" w:sz="4"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±2</w:t>
            </w:r>
          </w:p>
        </w:tc>
        <w:tc>
          <w:tcPr>
            <w:tcW w:w="541" w:type="pct"/>
            <w:tcBorders>
              <w:top w:val="single" w:color="000000" w:sz="12" w:space="0"/>
              <w:bottom w:val="single" w:color="000000" w:sz="4"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±3</w:t>
            </w:r>
          </w:p>
        </w:tc>
        <w:tc>
          <w:tcPr>
            <w:tcW w:w="1081" w:type="pct"/>
            <w:tcBorders>
              <w:top w:val="single" w:color="000000" w:sz="12" w:space="0"/>
              <w:left w:val="single" w:color="auto" w:sz="4" w:space="0"/>
              <w:bottom w:val="single" w:color="000000" w:sz="4"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±2</w:t>
            </w:r>
          </w:p>
        </w:tc>
        <w:tc>
          <w:tcPr>
            <w:tcW w:w="498" w:type="pct"/>
            <w:tcBorders>
              <w:top w:val="single" w:color="000000" w:sz="12" w:space="0"/>
              <w:left w:val="single" w:color="auto" w:sz="4" w:space="0"/>
              <w:bottom w:val="single" w:color="000000" w:sz="4"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±2</w:t>
            </w:r>
          </w:p>
        </w:tc>
        <w:tc>
          <w:tcPr>
            <w:tcW w:w="574" w:type="pct"/>
            <w:tcBorders>
              <w:top w:val="single" w:color="000000" w:sz="12" w:space="0"/>
              <w:left w:val="single" w:color="auto" w:sz="4" w:space="0"/>
              <w:bottom w:val="single" w:color="000000" w:sz="4"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±2</w:t>
            </w:r>
          </w:p>
        </w:tc>
        <w:tc>
          <w:tcPr>
            <w:tcW w:w="620" w:type="pct"/>
            <w:tcBorders>
              <w:top w:val="single" w:color="000000" w:sz="12" w:space="0"/>
              <w:left w:val="single" w:color="auto" w:sz="4" w:space="0"/>
              <w:bottom w:val="single" w:color="000000" w:sz="4" w:space="0"/>
              <w:right w:val="single" w:color="000000"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145" w:type="pct"/>
            <w:tcBorders>
              <w:left w:val="single" w:color="000000" w:sz="12" w:space="0"/>
              <w:bottom w:val="single" w:color="000000" w:sz="12"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累计计量允许偏差</w:t>
            </w:r>
          </w:p>
        </w:tc>
        <w:tc>
          <w:tcPr>
            <w:tcW w:w="541" w:type="pct"/>
            <w:tcBorders>
              <w:bottom w:val="single" w:color="000000" w:sz="12"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±1</w:t>
            </w:r>
          </w:p>
        </w:tc>
        <w:tc>
          <w:tcPr>
            <w:tcW w:w="541" w:type="pct"/>
            <w:tcBorders>
              <w:bottom w:val="single" w:color="000000" w:sz="12"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±2</w:t>
            </w:r>
          </w:p>
        </w:tc>
        <w:tc>
          <w:tcPr>
            <w:tcW w:w="1081" w:type="pct"/>
            <w:tcBorders>
              <w:left w:val="single" w:color="auto" w:sz="4" w:space="0"/>
              <w:bottom w:val="single" w:color="000000" w:sz="12"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±1</w:t>
            </w:r>
          </w:p>
        </w:tc>
        <w:tc>
          <w:tcPr>
            <w:tcW w:w="498" w:type="pct"/>
            <w:tcBorders>
              <w:left w:val="single" w:color="auto" w:sz="4" w:space="0"/>
              <w:bottom w:val="single" w:color="000000" w:sz="12"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±1</w:t>
            </w:r>
          </w:p>
        </w:tc>
        <w:tc>
          <w:tcPr>
            <w:tcW w:w="574" w:type="pct"/>
            <w:tcBorders>
              <w:left w:val="single" w:color="auto" w:sz="4" w:space="0"/>
              <w:bottom w:val="single" w:color="000000" w:sz="12"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±1</w:t>
            </w:r>
          </w:p>
        </w:tc>
        <w:tc>
          <w:tcPr>
            <w:tcW w:w="620" w:type="pct"/>
            <w:tcBorders>
              <w:left w:val="single" w:color="auto" w:sz="4" w:space="0"/>
              <w:bottom w:val="single" w:color="000000" w:sz="12" w:space="0"/>
              <w:right w:val="single" w:color="000000"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4" w:hRule="atLeast"/>
        </w:trPr>
        <w:tc>
          <w:tcPr>
            <w:tcW w:w="5000" w:type="pct"/>
            <w:gridSpan w:val="7"/>
            <w:tcBorders>
              <w:top w:val="single" w:color="000000" w:sz="12" w:space="0"/>
              <w:left w:val="single" w:color="000000" w:sz="12" w:space="0"/>
              <w:bottom w:val="single" w:color="000000" w:sz="12" w:space="0"/>
              <w:right w:val="single" w:color="000000" w:sz="12" w:space="0"/>
            </w:tcBorders>
            <w:vAlign w:val="center"/>
          </w:tcPr>
          <w:p>
            <w:pPr>
              <w:spacing w:line="240" w:lineRule="auto"/>
              <w:ind w:firstLine="424" w:firstLineChars="236"/>
              <w:jc w:val="left"/>
              <w:rPr>
                <w:rFonts w:ascii="Times New Roman"/>
                <w:sz w:val="18"/>
                <w:szCs w:val="18"/>
              </w:rPr>
            </w:pPr>
            <w:r>
              <w:rPr>
                <w:rFonts w:ascii="黑体" w:hAnsi="黑体" w:eastAsia="黑体"/>
                <w:sz w:val="18"/>
                <w:szCs w:val="18"/>
              </w:rPr>
              <w:t>注</w:t>
            </w:r>
            <w:r>
              <w:rPr>
                <w:sz w:val="18"/>
                <w:szCs w:val="18"/>
              </w:rPr>
              <w:t>：累计计量允许偏差是指每一运输车中各盘砂浆的每种材料计量</w:t>
            </w:r>
            <w:r>
              <w:rPr>
                <w:rFonts w:ascii="Times New Roman"/>
                <w:sz w:val="18"/>
                <w:szCs w:val="18"/>
              </w:rPr>
              <w:t>和的偏差。</w:t>
            </w:r>
          </w:p>
        </w:tc>
      </w:tr>
    </w:tbl>
    <w:p>
      <w:pPr>
        <w:pStyle w:val="166"/>
        <w:spacing w:before="312" w:beforeLines="100"/>
        <w:rPr>
          <w:rFonts w:ascii="Times New Roman"/>
          <w:szCs w:val="21"/>
        </w:rPr>
      </w:pPr>
      <w:r>
        <w:rPr>
          <w:rFonts w:ascii="Times New Roman"/>
          <w:szCs w:val="21"/>
        </w:rPr>
        <w:t>干混砂浆生产时应符合下列规定：</w:t>
      </w:r>
    </w:p>
    <w:p>
      <w:pPr>
        <w:pStyle w:val="166"/>
        <w:numPr>
          <w:ilvl w:val="0"/>
          <w:numId w:val="35"/>
        </w:numPr>
        <w:rPr>
          <w:rFonts w:ascii="Times New Roman"/>
          <w:szCs w:val="21"/>
        </w:rPr>
      </w:pPr>
      <w:r>
        <w:rPr>
          <w:rFonts w:ascii="Times New Roman"/>
          <w:szCs w:val="21"/>
        </w:rPr>
        <w:t>应测定干燥细</w:t>
      </w:r>
      <w:r>
        <w:rPr>
          <w:rFonts w:hint="eastAsia" w:ascii="Times New Roman"/>
          <w:szCs w:val="21"/>
        </w:rPr>
        <w:t>骨</w:t>
      </w:r>
      <w:r>
        <w:rPr>
          <w:rFonts w:ascii="Times New Roman"/>
          <w:szCs w:val="21"/>
        </w:rPr>
        <w:t>料的含水率，每一工作班不应少于1次</w:t>
      </w:r>
      <w:r>
        <w:rPr>
          <w:rFonts w:hint="eastAsia" w:ascii="Times New Roman"/>
          <w:szCs w:val="21"/>
        </w:rPr>
        <w:t>；</w:t>
      </w:r>
    </w:p>
    <w:p>
      <w:pPr>
        <w:pStyle w:val="166"/>
        <w:numPr>
          <w:ilvl w:val="0"/>
          <w:numId w:val="35"/>
        </w:numPr>
        <w:rPr>
          <w:rFonts w:ascii="Times New Roman"/>
          <w:szCs w:val="21"/>
        </w:rPr>
      </w:pPr>
      <w:r>
        <w:rPr>
          <w:rFonts w:ascii="Times New Roman"/>
          <w:szCs w:val="21"/>
        </w:rPr>
        <w:t>混合时间应根据砂浆品种及混合机型号合理确定，并应保证砂浆混合均匀</w:t>
      </w:r>
      <w:r>
        <w:rPr>
          <w:rFonts w:hint="eastAsia" w:ascii="Times New Roman"/>
          <w:szCs w:val="21"/>
        </w:rPr>
        <w:t>；</w:t>
      </w:r>
    </w:p>
    <w:p>
      <w:pPr>
        <w:pStyle w:val="166"/>
        <w:numPr>
          <w:ilvl w:val="0"/>
          <w:numId w:val="35"/>
        </w:numPr>
        <w:rPr>
          <w:rFonts w:ascii="Times New Roman"/>
          <w:szCs w:val="21"/>
        </w:rPr>
      </w:pPr>
      <w:r>
        <w:rPr>
          <w:rFonts w:ascii="Times New Roman"/>
          <w:szCs w:val="21"/>
        </w:rPr>
        <w:t>应定期检查混合机的混合效果以及进/出料口的封闭情况，并做好生产记录</w:t>
      </w:r>
      <w:r>
        <w:rPr>
          <w:rFonts w:hint="eastAsia" w:ascii="Times New Roman"/>
          <w:szCs w:val="21"/>
        </w:rPr>
        <w:t>；</w:t>
      </w:r>
    </w:p>
    <w:p>
      <w:pPr>
        <w:pStyle w:val="166"/>
        <w:numPr>
          <w:ilvl w:val="0"/>
          <w:numId w:val="35"/>
        </w:numPr>
        <w:rPr>
          <w:rFonts w:ascii="Times New Roman"/>
          <w:szCs w:val="21"/>
        </w:rPr>
      </w:pPr>
      <w:r>
        <w:rPr>
          <w:rFonts w:ascii="Times New Roman"/>
          <w:szCs w:val="21"/>
        </w:rPr>
        <w:t>更换干混砂浆品种生产时，应将混合、输送等设备清理干净。</w:t>
      </w:r>
    </w:p>
    <w:p>
      <w:pPr>
        <w:pStyle w:val="166"/>
        <w:rPr>
          <w:rFonts w:ascii="Times New Roman"/>
          <w:szCs w:val="21"/>
        </w:rPr>
      </w:pPr>
      <w:r>
        <w:rPr>
          <w:rFonts w:ascii="Times New Roman"/>
          <w:szCs w:val="21"/>
        </w:rPr>
        <w:t>湿拌砂浆生产时应符合下列规定：</w:t>
      </w:r>
    </w:p>
    <w:p>
      <w:pPr>
        <w:pStyle w:val="166"/>
        <w:numPr>
          <w:ilvl w:val="0"/>
          <w:numId w:val="36"/>
        </w:numPr>
        <w:rPr>
          <w:rFonts w:ascii="Times New Roman"/>
          <w:szCs w:val="21"/>
        </w:rPr>
      </w:pPr>
      <w:r>
        <w:rPr>
          <w:rFonts w:ascii="Times New Roman"/>
          <w:szCs w:val="21"/>
        </w:rPr>
        <w:t>应测定细</w:t>
      </w:r>
      <w:r>
        <w:rPr>
          <w:rFonts w:hint="eastAsia" w:ascii="Times New Roman"/>
          <w:szCs w:val="21"/>
        </w:rPr>
        <w:t>骨</w:t>
      </w:r>
      <w:r>
        <w:rPr>
          <w:rFonts w:ascii="Times New Roman"/>
          <w:szCs w:val="21"/>
        </w:rPr>
        <w:t>料的含水率，每一工作班应不少于1次</w:t>
      </w:r>
      <w:r>
        <w:rPr>
          <w:rFonts w:hint="eastAsia" w:ascii="Times New Roman"/>
          <w:szCs w:val="21"/>
        </w:rPr>
        <w:t>，根据测定结果及时调整用水量和细骨料用量；</w:t>
      </w:r>
    </w:p>
    <w:p>
      <w:pPr>
        <w:pStyle w:val="166"/>
        <w:numPr>
          <w:ilvl w:val="0"/>
          <w:numId w:val="36"/>
        </w:numPr>
        <w:rPr>
          <w:rFonts w:ascii="Times New Roman"/>
          <w:szCs w:val="21"/>
        </w:rPr>
      </w:pPr>
      <w:r>
        <w:rPr>
          <w:rFonts w:ascii="Times New Roman"/>
          <w:szCs w:val="21"/>
        </w:rPr>
        <w:t>应采用符合GB/T 9142要求的</w:t>
      </w:r>
      <w:r>
        <w:rPr>
          <w:rFonts w:hint="eastAsia" w:ascii="Times New Roman"/>
          <w:szCs w:val="21"/>
        </w:rPr>
        <w:t>强制</w:t>
      </w:r>
      <w:r>
        <w:rPr>
          <w:rFonts w:ascii="Times New Roman"/>
          <w:szCs w:val="21"/>
        </w:rPr>
        <w:t>式搅拌机进行搅拌，</w:t>
      </w:r>
      <w:r>
        <w:rPr>
          <w:rFonts w:hint="eastAsia" w:ascii="Times New Roman"/>
          <w:szCs w:val="21"/>
        </w:rPr>
        <w:t>搅拌机叶片与衬板间隙宜小于5mm。宜采用独立的生产线；</w:t>
      </w:r>
    </w:p>
    <w:p>
      <w:pPr>
        <w:pStyle w:val="166"/>
        <w:numPr>
          <w:ilvl w:val="0"/>
          <w:numId w:val="36"/>
        </w:numPr>
        <w:rPr>
          <w:rFonts w:ascii="Times New Roman"/>
          <w:szCs w:val="21"/>
        </w:rPr>
      </w:pPr>
      <w:r>
        <w:rPr>
          <w:rFonts w:hint="eastAsia" w:ascii="Times New Roman"/>
          <w:szCs w:val="21"/>
        </w:rPr>
        <w:t>湿拌砂浆的搅拌时间应参照搅拌机的技术参数、砂浆配合比、外加剂的品种及掺量、投料量等通过试验确定，砂浆拌合物应搅拌均匀，且从全部材料</w:t>
      </w:r>
      <w:r>
        <w:rPr>
          <w:rFonts w:ascii="Times New Roman"/>
          <w:szCs w:val="21"/>
        </w:rPr>
        <w:t>投完算起</w:t>
      </w:r>
      <w:r>
        <w:rPr>
          <w:rFonts w:hint="eastAsia" w:ascii="Times New Roman"/>
          <w:szCs w:val="21"/>
        </w:rPr>
        <w:t>搅拌时间</w:t>
      </w:r>
      <w:r>
        <w:rPr>
          <w:rFonts w:ascii="Times New Roman"/>
          <w:szCs w:val="21"/>
        </w:rPr>
        <w:t>不应少于30s</w:t>
      </w:r>
      <w:r>
        <w:rPr>
          <w:rFonts w:hint="eastAsia" w:ascii="Times New Roman"/>
          <w:szCs w:val="21"/>
        </w:rPr>
        <w:t>。</w:t>
      </w:r>
    </w:p>
    <w:p>
      <w:pPr>
        <w:pStyle w:val="166"/>
        <w:rPr>
          <w:rFonts w:ascii="Times New Roman"/>
          <w:szCs w:val="21"/>
        </w:rPr>
      </w:pPr>
      <w:r>
        <w:rPr>
          <w:rFonts w:ascii="Times New Roman"/>
          <w:szCs w:val="21"/>
        </w:rPr>
        <w:t>制定设备设施检查、维护、保养制度，对设备设施、运输车辆</w:t>
      </w:r>
      <w:r>
        <w:rPr>
          <w:rFonts w:hint="eastAsia" w:ascii="Times New Roman"/>
          <w:szCs w:val="21"/>
        </w:rPr>
        <w:t>应</w:t>
      </w:r>
      <w:r>
        <w:rPr>
          <w:rFonts w:ascii="Times New Roman"/>
          <w:szCs w:val="21"/>
        </w:rPr>
        <w:t>定期进行检查与维护。</w:t>
      </w:r>
    </w:p>
    <w:p>
      <w:pPr>
        <w:pStyle w:val="106"/>
        <w:spacing w:before="156" w:after="156"/>
      </w:pPr>
      <w:r>
        <w:rPr>
          <w:rFonts w:hint="eastAsia"/>
        </w:rPr>
        <w:t>产品包装、生产存储和成品运输</w:t>
      </w:r>
    </w:p>
    <w:p>
      <w:pPr>
        <w:pStyle w:val="166"/>
        <w:rPr>
          <w:rFonts w:ascii="Times New Roman"/>
          <w:szCs w:val="21"/>
        </w:rPr>
      </w:pPr>
      <w:r>
        <w:rPr>
          <w:rFonts w:hint="eastAsia" w:ascii="Times New Roman"/>
          <w:szCs w:val="21"/>
        </w:rPr>
        <w:t>干混砂浆的</w:t>
      </w:r>
      <w:r>
        <w:rPr>
          <w:rFonts w:ascii="Times New Roman"/>
          <w:szCs w:val="21"/>
        </w:rPr>
        <w:t>产品包装应符合下列规定：</w:t>
      </w:r>
    </w:p>
    <w:p>
      <w:pPr>
        <w:pStyle w:val="166"/>
        <w:numPr>
          <w:ilvl w:val="0"/>
          <w:numId w:val="37"/>
        </w:numPr>
        <w:rPr>
          <w:rFonts w:ascii="Times New Roman"/>
          <w:szCs w:val="21"/>
        </w:rPr>
      </w:pPr>
      <w:r>
        <w:rPr>
          <w:rFonts w:ascii="Times New Roman"/>
          <w:szCs w:val="21"/>
        </w:rPr>
        <w:t>可采用袋装与散装，宜优先使用散装</w:t>
      </w:r>
      <w:r>
        <w:rPr>
          <w:rFonts w:hint="eastAsia" w:ascii="Times New Roman"/>
          <w:szCs w:val="21"/>
        </w:rPr>
        <w:t>；</w:t>
      </w:r>
    </w:p>
    <w:p>
      <w:pPr>
        <w:pStyle w:val="166"/>
        <w:numPr>
          <w:ilvl w:val="0"/>
          <w:numId w:val="37"/>
        </w:numPr>
        <w:rPr>
          <w:rFonts w:ascii="Times New Roman"/>
          <w:szCs w:val="21"/>
        </w:rPr>
      </w:pPr>
      <w:r>
        <w:rPr>
          <w:rFonts w:ascii="Times New Roman"/>
          <w:szCs w:val="21"/>
        </w:rPr>
        <w:t>袋装干混砂浆包装袋应符合GB</w:t>
      </w:r>
      <w:r>
        <w:rPr>
          <w:rFonts w:hint="eastAsia" w:ascii="Times New Roman"/>
          <w:szCs w:val="21"/>
        </w:rPr>
        <w:t>/T</w:t>
      </w:r>
      <w:r>
        <w:rPr>
          <w:rFonts w:ascii="Times New Roman"/>
          <w:szCs w:val="21"/>
        </w:rPr>
        <w:t xml:space="preserve"> 9774的有关规定。袋装干混砂浆每袋净含量不得小于其标志质量的99%。随机抽取20袋，其净含量之和不得小于标志质量的总和</w:t>
      </w:r>
      <w:r>
        <w:rPr>
          <w:rFonts w:hint="eastAsia" w:ascii="Times New Roman"/>
          <w:szCs w:val="21"/>
        </w:rPr>
        <w:t>；</w:t>
      </w:r>
    </w:p>
    <w:p>
      <w:pPr>
        <w:pStyle w:val="166"/>
        <w:numPr>
          <w:ilvl w:val="0"/>
          <w:numId w:val="37"/>
        </w:numPr>
        <w:rPr>
          <w:rFonts w:ascii="Times New Roman"/>
          <w:szCs w:val="21"/>
        </w:rPr>
      </w:pPr>
      <w:r>
        <w:rPr>
          <w:rFonts w:ascii="Times New Roman"/>
          <w:szCs w:val="21"/>
        </w:rPr>
        <w:t>包装袋上应标明产品名称、标记</w:t>
      </w:r>
      <w:r>
        <w:rPr>
          <w:rFonts w:hint="eastAsia" w:ascii="Times New Roman"/>
          <w:szCs w:val="21"/>
        </w:rPr>
        <w:t>、</w:t>
      </w:r>
      <w:r>
        <w:rPr>
          <w:rFonts w:ascii="Times New Roman"/>
          <w:szCs w:val="21"/>
        </w:rPr>
        <w:t>商标、强度等级、生产厂名和地址、净含量、加水量范围、加水搅拌时间、保质期、生产日期和编号</w:t>
      </w:r>
      <w:r>
        <w:rPr>
          <w:rFonts w:hint="eastAsia" w:ascii="Times New Roman"/>
          <w:szCs w:val="21"/>
        </w:rPr>
        <w:t>；</w:t>
      </w:r>
    </w:p>
    <w:p>
      <w:pPr>
        <w:pStyle w:val="166"/>
        <w:numPr>
          <w:ilvl w:val="0"/>
          <w:numId w:val="37"/>
        </w:numPr>
        <w:rPr>
          <w:rFonts w:ascii="Times New Roman"/>
          <w:szCs w:val="21"/>
        </w:rPr>
      </w:pPr>
      <w:r>
        <w:rPr>
          <w:rFonts w:ascii="Times New Roman"/>
          <w:szCs w:val="21"/>
        </w:rPr>
        <w:t>散装干混砂浆应具有与袋装干混砂浆标志内容相同的卡片，并附有产品使用说明书。</w:t>
      </w:r>
    </w:p>
    <w:p>
      <w:pPr>
        <w:pStyle w:val="166"/>
        <w:rPr>
          <w:rFonts w:ascii="Times New Roman"/>
          <w:szCs w:val="21"/>
        </w:rPr>
      </w:pPr>
      <w:r>
        <w:rPr>
          <w:rFonts w:hint="eastAsia" w:ascii="Times New Roman"/>
          <w:szCs w:val="21"/>
        </w:rPr>
        <w:t>干混砂浆</w:t>
      </w:r>
      <w:r>
        <w:rPr>
          <w:rFonts w:ascii="Times New Roman"/>
          <w:szCs w:val="21"/>
        </w:rPr>
        <w:t>生产</w:t>
      </w:r>
      <w:r>
        <w:rPr>
          <w:rFonts w:hint="eastAsia" w:ascii="Times New Roman"/>
          <w:szCs w:val="21"/>
        </w:rPr>
        <w:t>后贮存</w:t>
      </w:r>
      <w:r>
        <w:rPr>
          <w:rFonts w:ascii="Times New Roman"/>
          <w:szCs w:val="21"/>
        </w:rPr>
        <w:t>应符合下列规定：</w:t>
      </w:r>
    </w:p>
    <w:p>
      <w:pPr>
        <w:pStyle w:val="166"/>
        <w:numPr>
          <w:ilvl w:val="0"/>
          <w:numId w:val="38"/>
        </w:numPr>
        <w:rPr>
          <w:rFonts w:ascii="Times New Roman"/>
          <w:szCs w:val="21"/>
        </w:rPr>
      </w:pPr>
      <w:r>
        <w:rPr>
          <w:rFonts w:ascii="Times New Roman"/>
          <w:szCs w:val="21"/>
        </w:rPr>
        <w:t>干混砂浆在贮存过程中不得受潮和混入杂物。不同品种和规格型号的干混砂浆应标识明确，分别贮存，不得混杂</w:t>
      </w:r>
      <w:r>
        <w:rPr>
          <w:rFonts w:hint="eastAsia" w:ascii="Times New Roman"/>
          <w:szCs w:val="21"/>
        </w:rPr>
        <w:t>；</w:t>
      </w:r>
    </w:p>
    <w:p>
      <w:pPr>
        <w:pStyle w:val="166"/>
        <w:numPr>
          <w:ilvl w:val="0"/>
          <w:numId w:val="38"/>
        </w:numPr>
        <w:rPr>
          <w:rFonts w:ascii="Times New Roman"/>
          <w:szCs w:val="21"/>
        </w:rPr>
      </w:pPr>
      <w:r>
        <w:rPr>
          <w:rFonts w:ascii="Times New Roman"/>
          <w:szCs w:val="21"/>
        </w:rPr>
        <w:t>散装干混砂浆应贮存在筒仓中，筒仓应密闭且防雨、防潮。当更换砂浆品种时，筒仓应清空并清理干净</w:t>
      </w:r>
      <w:r>
        <w:rPr>
          <w:rFonts w:hint="eastAsia" w:ascii="Times New Roman"/>
          <w:szCs w:val="21"/>
        </w:rPr>
        <w:t>；</w:t>
      </w:r>
    </w:p>
    <w:p>
      <w:pPr>
        <w:pStyle w:val="166"/>
        <w:numPr>
          <w:ilvl w:val="0"/>
          <w:numId w:val="38"/>
        </w:numPr>
        <w:rPr>
          <w:rFonts w:ascii="Times New Roman"/>
          <w:szCs w:val="21"/>
        </w:rPr>
      </w:pPr>
      <w:r>
        <w:rPr>
          <w:rFonts w:ascii="Times New Roman"/>
          <w:szCs w:val="21"/>
        </w:rPr>
        <w:t>袋装干混砂浆应架空贮存在干燥环境中，应有防雨、防潮、防扬尘措施。储存过程中，包装袋不应破损</w:t>
      </w:r>
      <w:r>
        <w:rPr>
          <w:rFonts w:hint="eastAsia" w:ascii="Times New Roman"/>
          <w:szCs w:val="21"/>
        </w:rPr>
        <w:t>；</w:t>
      </w:r>
    </w:p>
    <w:p>
      <w:pPr>
        <w:pStyle w:val="166"/>
        <w:numPr>
          <w:ilvl w:val="0"/>
          <w:numId w:val="38"/>
        </w:numPr>
        <w:rPr>
          <w:rFonts w:ascii="Times New Roman"/>
          <w:szCs w:val="21"/>
        </w:rPr>
      </w:pPr>
      <w:r>
        <w:rPr>
          <w:rFonts w:hint="eastAsia" w:ascii="Times New Roman"/>
          <w:szCs w:val="21"/>
        </w:rPr>
        <w:t>散装、</w:t>
      </w:r>
      <w:r>
        <w:rPr>
          <w:rFonts w:ascii="Times New Roman"/>
          <w:szCs w:val="21"/>
        </w:rPr>
        <w:t>袋装干混砂浆的保质期应为3个月。</w:t>
      </w:r>
    </w:p>
    <w:p>
      <w:pPr>
        <w:pStyle w:val="166"/>
        <w:rPr>
          <w:rFonts w:ascii="Times New Roman"/>
          <w:szCs w:val="21"/>
        </w:rPr>
      </w:pPr>
      <w:r>
        <w:rPr>
          <w:rFonts w:hint="eastAsia" w:ascii="Times New Roman"/>
          <w:szCs w:val="21"/>
        </w:rPr>
        <w:t>干混砂浆的运输</w:t>
      </w:r>
      <w:r>
        <w:rPr>
          <w:rFonts w:ascii="Times New Roman"/>
          <w:szCs w:val="21"/>
        </w:rPr>
        <w:t>应符合下列规定：</w:t>
      </w:r>
    </w:p>
    <w:p>
      <w:pPr>
        <w:pStyle w:val="166"/>
        <w:numPr>
          <w:ilvl w:val="0"/>
          <w:numId w:val="39"/>
        </w:numPr>
        <w:rPr>
          <w:rFonts w:ascii="Times New Roman"/>
          <w:szCs w:val="21"/>
        </w:rPr>
      </w:pPr>
      <w:r>
        <w:rPr>
          <w:rFonts w:ascii="Times New Roman"/>
          <w:szCs w:val="21"/>
        </w:rPr>
        <w:t>散装干混砂浆宜采用符合SB/T 10546技术要求的运输车运送。散装干混砂浆运输车应密封、防水、防潮，并宜有除尘装置。砂浆品种更换时，运输车应清空并清理干净</w:t>
      </w:r>
      <w:r>
        <w:rPr>
          <w:rFonts w:hint="eastAsia" w:ascii="Times New Roman"/>
          <w:szCs w:val="21"/>
        </w:rPr>
        <w:t>；</w:t>
      </w:r>
    </w:p>
    <w:p>
      <w:pPr>
        <w:pStyle w:val="166"/>
        <w:numPr>
          <w:ilvl w:val="0"/>
          <w:numId w:val="39"/>
        </w:numPr>
        <w:rPr>
          <w:rFonts w:ascii="Times New Roman"/>
          <w:szCs w:val="21"/>
        </w:rPr>
      </w:pPr>
      <w:r>
        <w:rPr>
          <w:rFonts w:ascii="Times New Roman"/>
          <w:szCs w:val="21"/>
        </w:rPr>
        <w:t>袋装干混砂浆运输过程中不得混入杂物，并应用防雨、防潮和防尘措施。砂浆搬运时，不应摔包，不应自行倾卸。</w:t>
      </w:r>
    </w:p>
    <w:p>
      <w:pPr>
        <w:pStyle w:val="166"/>
        <w:rPr>
          <w:rFonts w:ascii="Times New Roman"/>
          <w:szCs w:val="21"/>
        </w:rPr>
      </w:pPr>
      <w:r>
        <w:rPr>
          <w:rFonts w:hint="eastAsia" w:ascii="Times New Roman"/>
          <w:szCs w:val="21"/>
        </w:rPr>
        <w:t>湿拌砂浆的运输</w:t>
      </w:r>
      <w:r>
        <w:rPr>
          <w:rFonts w:ascii="Times New Roman"/>
          <w:szCs w:val="21"/>
        </w:rPr>
        <w:t>应符合下列规定：</w:t>
      </w:r>
    </w:p>
    <w:p>
      <w:pPr>
        <w:pStyle w:val="166"/>
        <w:numPr>
          <w:ilvl w:val="0"/>
          <w:numId w:val="40"/>
        </w:numPr>
        <w:rPr>
          <w:rFonts w:ascii="Times New Roman"/>
          <w:szCs w:val="21"/>
        </w:rPr>
      </w:pPr>
      <w:r>
        <w:rPr>
          <w:rFonts w:ascii="Times New Roman"/>
          <w:szCs w:val="21"/>
        </w:rPr>
        <w:t>应采用</w:t>
      </w:r>
      <w:r>
        <w:rPr>
          <w:rFonts w:hint="eastAsia" w:ascii="Times New Roman"/>
          <w:szCs w:val="21"/>
        </w:rPr>
        <w:t>符合GB/T 26408要求的</w:t>
      </w:r>
      <w:r>
        <w:rPr>
          <w:rFonts w:ascii="Times New Roman"/>
          <w:szCs w:val="21"/>
        </w:rPr>
        <w:t>搅拌运输车运送。装料前，装料口应保持清洁，筒体内不得有积水、积浆及杂物</w:t>
      </w:r>
      <w:r>
        <w:rPr>
          <w:rFonts w:hint="eastAsia" w:ascii="Times New Roman"/>
          <w:szCs w:val="21"/>
        </w:rPr>
        <w:t>；</w:t>
      </w:r>
    </w:p>
    <w:p>
      <w:pPr>
        <w:pStyle w:val="166"/>
        <w:numPr>
          <w:ilvl w:val="0"/>
          <w:numId w:val="40"/>
        </w:numPr>
        <w:rPr>
          <w:rFonts w:ascii="Times New Roman"/>
          <w:szCs w:val="21"/>
        </w:rPr>
      </w:pPr>
      <w:r>
        <w:rPr>
          <w:rFonts w:ascii="Times New Roman"/>
          <w:szCs w:val="21"/>
        </w:rPr>
        <w:t>在装料及运输过程中，应保持搅拌运输车筒体按规定速度旋转，使砂浆运至储存地点后无离析、分层现象，组份不发生变化，湿拌砂浆稠度应满足施工规定</w:t>
      </w:r>
      <w:r>
        <w:rPr>
          <w:rFonts w:hint="eastAsia" w:ascii="Times New Roman"/>
          <w:szCs w:val="21"/>
        </w:rPr>
        <w:t>；</w:t>
      </w:r>
    </w:p>
    <w:p>
      <w:pPr>
        <w:pStyle w:val="166"/>
        <w:numPr>
          <w:ilvl w:val="0"/>
          <w:numId w:val="40"/>
        </w:numPr>
        <w:rPr>
          <w:rFonts w:ascii="Times New Roman"/>
          <w:szCs w:val="21"/>
        </w:rPr>
      </w:pPr>
      <w:r>
        <w:rPr>
          <w:rFonts w:ascii="Times New Roman"/>
          <w:szCs w:val="21"/>
        </w:rPr>
        <w:t>运输设备应不吸水</w:t>
      </w:r>
      <w:r>
        <w:rPr>
          <w:rFonts w:hint="eastAsia" w:ascii="Times New Roman"/>
          <w:szCs w:val="21"/>
        </w:rPr>
        <w:t>、</w:t>
      </w:r>
      <w:r>
        <w:rPr>
          <w:rFonts w:ascii="Times New Roman"/>
          <w:szCs w:val="21"/>
        </w:rPr>
        <w:t>不漏浆，并保证卸料及输送畅通，严禁在运输和卸料过程中加水</w:t>
      </w:r>
      <w:r>
        <w:rPr>
          <w:rFonts w:hint="eastAsia" w:ascii="Times New Roman"/>
          <w:szCs w:val="21"/>
        </w:rPr>
        <w:t>；</w:t>
      </w:r>
    </w:p>
    <w:p>
      <w:pPr>
        <w:pStyle w:val="166"/>
        <w:numPr>
          <w:ilvl w:val="0"/>
          <w:numId w:val="40"/>
        </w:numPr>
        <w:rPr>
          <w:rFonts w:ascii="Times New Roman"/>
          <w:szCs w:val="21"/>
        </w:rPr>
      </w:pPr>
      <w:r>
        <w:rPr>
          <w:rFonts w:ascii="Times New Roman"/>
          <w:szCs w:val="21"/>
        </w:rPr>
        <w:t>湿拌砂浆用搅拌运输车运输的延续时间应符合表</w:t>
      </w:r>
      <w:r>
        <w:rPr>
          <w:rFonts w:hint="eastAsia" w:ascii="Times New Roman"/>
          <w:szCs w:val="21"/>
        </w:rPr>
        <w:t>13</w:t>
      </w:r>
      <w:r>
        <w:rPr>
          <w:rFonts w:ascii="Times New Roman"/>
          <w:szCs w:val="21"/>
        </w:rPr>
        <w:t>的规定。</w:t>
      </w:r>
    </w:p>
    <w:p>
      <w:pPr>
        <w:pStyle w:val="166"/>
        <w:numPr>
          <w:ilvl w:val="0"/>
          <w:numId w:val="0"/>
        </w:numPr>
        <w:spacing w:before="156" w:beforeLines="50" w:after="156" w:afterLines="50"/>
        <w:jc w:val="center"/>
        <w:rPr>
          <w:rFonts w:ascii="Times New Roman" w:eastAsia="黑体"/>
          <w:szCs w:val="21"/>
        </w:rPr>
      </w:pPr>
      <w:r>
        <w:rPr>
          <w:rFonts w:ascii="Times New Roman" w:eastAsia="黑体"/>
          <w:szCs w:val="21"/>
        </w:rPr>
        <w:t>表</w:t>
      </w:r>
      <w:r>
        <w:rPr>
          <w:rFonts w:hint="eastAsia" w:ascii="Times New Roman" w:eastAsia="黑体"/>
          <w:szCs w:val="21"/>
        </w:rPr>
        <w:t>13</w:t>
      </w:r>
      <w:r>
        <w:rPr>
          <w:rFonts w:ascii="Times New Roman" w:eastAsia="黑体"/>
          <w:szCs w:val="21"/>
        </w:rPr>
        <w:t xml:space="preserve"> 湿拌砂浆运输延续时间</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1"/>
        <w:gridCol w:w="53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226" w:type="pct"/>
            <w:tcBorders>
              <w:top w:val="single" w:color="000000" w:sz="12" w:space="0"/>
              <w:left w:val="single" w:color="000000" w:sz="12" w:space="0"/>
              <w:bottom w:val="single" w:color="000000" w:sz="12" w:space="0"/>
              <w:right w:val="single" w:color="000000"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气温</w:t>
            </w:r>
          </w:p>
        </w:tc>
        <w:tc>
          <w:tcPr>
            <w:tcW w:w="2774" w:type="pct"/>
            <w:tcBorders>
              <w:top w:val="single" w:color="000000" w:sz="12" w:space="0"/>
              <w:left w:val="single" w:color="000000" w:sz="12" w:space="0"/>
              <w:bottom w:val="single" w:color="000000" w:sz="12" w:space="0"/>
              <w:right w:val="single" w:color="000000"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运输延续时间</w:t>
            </w:r>
            <w:r>
              <w:rPr>
                <w:rFonts w:hint="eastAsia" w:ascii="Times New Roman" w:hAnsi="Times New Roman"/>
                <w:sz w:val="18"/>
                <w:szCs w:val="18"/>
              </w:rPr>
              <w:t>/</w:t>
            </w:r>
            <w:r>
              <w:rPr>
                <w:rFonts w:ascii="Times New Roman" w:hAnsi="Times New Roman"/>
                <w:sz w:val="18"/>
                <w:szCs w:val="18"/>
              </w:rPr>
              <w:t>min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226" w:type="pct"/>
            <w:tcBorders>
              <w:top w:val="single" w:color="000000" w:sz="12" w:space="0"/>
              <w:left w:val="single" w:color="000000" w:sz="12" w:space="0"/>
              <w:bottom w:val="single" w:color="000000" w:sz="4" w:space="0"/>
              <w:right w:val="single" w:color="000000"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35℃以下</w:t>
            </w:r>
          </w:p>
        </w:tc>
        <w:tc>
          <w:tcPr>
            <w:tcW w:w="2774" w:type="pct"/>
            <w:tcBorders>
              <w:top w:val="single" w:color="000000" w:sz="12" w:space="0"/>
              <w:left w:val="single" w:color="000000" w:sz="12" w:space="0"/>
              <w:bottom w:val="single" w:color="000000" w:sz="4" w:space="0"/>
              <w:right w:val="single" w:color="000000"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≤150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226" w:type="pct"/>
            <w:tcBorders>
              <w:left w:val="single" w:color="000000" w:sz="12" w:space="0"/>
              <w:bottom w:val="single" w:color="000000" w:sz="12" w:space="0"/>
              <w:right w:val="single" w:color="000000"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≥35℃</w:t>
            </w:r>
          </w:p>
        </w:tc>
        <w:tc>
          <w:tcPr>
            <w:tcW w:w="2774" w:type="pct"/>
            <w:tcBorders>
              <w:left w:val="single" w:color="000000" w:sz="12" w:space="0"/>
              <w:bottom w:val="single" w:color="000000" w:sz="12" w:space="0"/>
              <w:right w:val="single" w:color="000000"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≤120</w:t>
            </w:r>
          </w:p>
        </w:tc>
      </w:tr>
    </w:tbl>
    <w:p>
      <w:pPr>
        <w:pStyle w:val="106"/>
        <w:spacing w:before="312" w:beforeLines="100" w:after="156"/>
      </w:pPr>
      <w:r>
        <w:rPr>
          <w:rFonts w:hint="eastAsia"/>
        </w:rPr>
        <w:t>产品检验</w:t>
      </w:r>
    </w:p>
    <w:p>
      <w:pPr>
        <w:pStyle w:val="166"/>
        <w:rPr>
          <w:rFonts w:ascii="Times New Roman"/>
          <w:szCs w:val="21"/>
        </w:rPr>
      </w:pPr>
      <w:r>
        <w:rPr>
          <w:rFonts w:ascii="Times New Roman"/>
          <w:szCs w:val="21"/>
        </w:rPr>
        <w:t>预拌砂浆产品检验分为型式检验</w:t>
      </w:r>
      <w:r>
        <w:rPr>
          <w:rFonts w:hint="eastAsia" w:ascii="Times New Roman"/>
          <w:szCs w:val="21"/>
        </w:rPr>
        <w:t>和</w:t>
      </w:r>
      <w:r>
        <w:rPr>
          <w:rFonts w:ascii="Times New Roman"/>
          <w:szCs w:val="21"/>
        </w:rPr>
        <w:t>出厂检验。</w:t>
      </w:r>
    </w:p>
    <w:p>
      <w:pPr>
        <w:pStyle w:val="166"/>
        <w:rPr>
          <w:rFonts w:ascii="Times New Roman"/>
          <w:szCs w:val="21"/>
        </w:rPr>
      </w:pPr>
      <w:r>
        <w:rPr>
          <w:rFonts w:ascii="Times New Roman"/>
          <w:szCs w:val="21"/>
        </w:rPr>
        <w:t>型式检验项目为本规程</w:t>
      </w:r>
      <w:r>
        <w:rPr>
          <w:rFonts w:hint="eastAsia" w:ascii="Times New Roman"/>
          <w:szCs w:val="21"/>
        </w:rPr>
        <w:t>4.2</w:t>
      </w:r>
      <w:r>
        <w:rPr>
          <w:rFonts w:ascii="Times New Roman"/>
          <w:szCs w:val="21"/>
        </w:rPr>
        <w:t>所规定的全部项目</w:t>
      </w:r>
      <w:r>
        <w:rPr>
          <w:rFonts w:hint="eastAsia" w:ascii="Times New Roman"/>
          <w:szCs w:val="21"/>
        </w:rPr>
        <w:t>，</w:t>
      </w:r>
      <w:r>
        <w:rPr>
          <w:rFonts w:ascii="Times New Roman"/>
          <w:szCs w:val="21"/>
        </w:rPr>
        <w:t>下列情况下应进行型式检验</w:t>
      </w:r>
      <w:r>
        <w:rPr>
          <w:rFonts w:hint="eastAsia" w:ascii="Times New Roman"/>
          <w:szCs w:val="21"/>
        </w:rPr>
        <w:t>：</w:t>
      </w:r>
      <w:r>
        <w:rPr>
          <w:rFonts w:ascii="Times New Roman"/>
          <w:szCs w:val="21"/>
        </w:rPr>
        <w:t xml:space="preserve"> </w:t>
      </w:r>
    </w:p>
    <w:p>
      <w:pPr>
        <w:pStyle w:val="166"/>
        <w:numPr>
          <w:ilvl w:val="0"/>
          <w:numId w:val="41"/>
        </w:numPr>
        <w:rPr>
          <w:rFonts w:ascii="Times New Roman"/>
          <w:szCs w:val="21"/>
        </w:rPr>
      </w:pPr>
      <w:r>
        <w:rPr>
          <w:rFonts w:ascii="Times New Roman"/>
          <w:szCs w:val="21"/>
        </w:rPr>
        <w:t>新产品投产或产品定性鉴定时；</w:t>
      </w:r>
    </w:p>
    <w:p>
      <w:pPr>
        <w:pStyle w:val="166"/>
        <w:numPr>
          <w:ilvl w:val="0"/>
          <w:numId w:val="41"/>
        </w:numPr>
        <w:rPr>
          <w:rFonts w:ascii="Times New Roman"/>
          <w:szCs w:val="21"/>
        </w:rPr>
      </w:pPr>
      <w:r>
        <w:rPr>
          <w:rFonts w:ascii="Times New Roman"/>
          <w:szCs w:val="21"/>
        </w:rPr>
        <w:t>正常生产时，每年至少进行一次；</w:t>
      </w:r>
    </w:p>
    <w:p>
      <w:pPr>
        <w:pStyle w:val="166"/>
        <w:numPr>
          <w:ilvl w:val="0"/>
          <w:numId w:val="41"/>
        </w:numPr>
        <w:rPr>
          <w:rFonts w:ascii="Times New Roman"/>
          <w:szCs w:val="21"/>
        </w:rPr>
      </w:pPr>
      <w:r>
        <w:rPr>
          <w:rFonts w:ascii="Times New Roman"/>
          <w:szCs w:val="21"/>
        </w:rPr>
        <w:t>主要原材料、配合比或生产工艺有较大改变时；</w:t>
      </w:r>
    </w:p>
    <w:p>
      <w:pPr>
        <w:pStyle w:val="166"/>
        <w:numPr>
          <w:ilvl w:val="0"/>
          <w:numId w:val="41"/>
        </w:numPr>
        <w:rPr>
          <w:rFonts w:ascii="Times New Roman"/>
          <w:szCs w:val="21"/>
        </w:rPr>
      </w:pPr>
      <w:r>
        <w:rPr>
          <w:rFonts w:ascii="Times New Roman"/>
          <w:szCs w:val="21"/>
        </w:rPr>
        <w:t>出厂检验结果与上次型式检验结果有较大差异时；</w:t>
      </w:r>
    </w:p>
    <w:p>
      <w:pPr>
        <w:pStyle w:val="166"/>
        <w:numPr>
          <w:ilvl w:val="0"/>
          <w:numId w:val="41"/>
        </w:numPr>
        <w:rPr>
          <w:rFonts w:ascii="Times New Roman"/>
          <w:szCs w:val="21"/>
        </w:rPr>
      </w:pPr>
      <w:r>
        <w:rPr>
          <w:rFonts w:ascii="Times New Roman"/>
          <w:szCs w:val="21"/>
        </w:rPr>
        <w:t>停产</w:t>
      </w:r>
      <w:r>
        <w:rPr>
          <w:rFonts w:hint="eastAsia" w:ascii="Times New Roman"/>
          <w:szCs w:val="21"/>
        </w:rPr>
        <w:t>6</w:t>
      </w:r>
      <w:r>
        <w:rPr>
          <w:rFonts w:ascii="Times New Roman"/>
          <w:szCs w:val="21"/>
        </w:rPr>
        <w:t>个月及以上恢复生产时；</w:t>
      </w:r>
    </w:p>
    <w:p>
      <w:pPr>
        <w:pStyle w:val="166"/>
        <w:numPr>
          <w:ilvl w:val="0"/>
          <w:numId w:val="41"/>
        </w:numPr>
        <w:rPr>
          <w:rFonts w:ascii="Times New Roman"/>
          <w:szCs w:val="21"/>
        </w:rPr>
      </w:pPr>
      <w:r>
        <w:rPr>
          <w:rFonts w:ascii="Times New Roman"/>
          <w:szCs w:val="21"/>
        </w:rPr>
        <w:t>国家质量监督检验机构提出型式检验要求时。</w:t>
      </w:r>
    </w:p>
    <w:p>
      <w:pPr>
        <w:pStyle w:val="166"/>
        <w:rPr>
          <w:rFonts w:ascii="Times New Roman"/>
          <w:szCs w:val="21"/>
        </w:rPr>
      </w:pPr>
      <w:r>
        <w:rPr>
          <w:rFonts w:ascii="Times New Roman"/>
          <w:szCs w:val="21"/>
        </w:rPr>
        <w:t>预拌砂浆出厂前应进行出厂检验，</w:t>
      </w:r>
      <w:r>
        <w:rPr>
          <w:rFonts w:hint="eastAsia" w:ascii="Times New Roman"/>
          <w:szCs w:val="21"/>
        </w:rPr>
        <w:t>出厂检验取样试验工作应由供方承担，出厂</w:t>
      </w:r>
      <w:r>
        <w:rPr>
          <w:rFonts w:ascii="Times New Roman"/>
          <w:szCs w:val="21"/>
        </w:rPr>
        <w:t>检验项目</w:t>
      </w:r>
      <w:r>
        <w:rPr>
          <w:rFonts w:hint="eastAsia" w:ascii="Times New Roman"/>
          <w:szCs w:val="21"/>
        </w:rPr>
        <w:t>应按表14的要求执行。</w:t>
      </w:r>
    </w:p>
    <w:p>
      <w:pPr>
        <w:pStyle w:val="166"/>
        <w:numPr>
          <w:ilvl w:val="0"/>
          <w:numId w:val="0"/>
        </w:numPr>
        <w:spacing w:before="156" w:beforeLines="50" w:after="156" w:afterLines="50"/>
        <w:jc w:val="center"/>
        <w:rPr>
          <w:rFonts w:ascii="Times New Roman" w:eastAsia="黑体"/>
          <w:szCs w:val="21"/>
        </w:rPr>
      </w:pPr>
      <w:r>
        <w:rPr>
          <w:rFonts w:ascii="Times New Roman" w:eastAsia="黑体"/>
          <w:szCs w:val="21"/>
        </w:rPr>
        <w:t>表</w:t>
      </w:r>
      <w:r>
        <w:rPr>
          <w:rFonts w:hint="eastAsia" w:ascii="Times New Roman" w:eastAsia="黑体"/>
          <w:szCs w:val="21"/>
        </w:rPr>
        <w:t>14</w:t>
      </w:r>
      <w:r>
        <w:rPr>
          <w:rFonts w:ascii="Times New Roman" w:eastAsia="黑体"/>
          <w:szCs w:val="21"/>
        </w:rPr>
        <w:t xml:space="preserve"> 预拌砂浆出厂检验项目</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7"/>
        <w:gridCol w:w="1738"/>
        <w:gridCol w:w="8"/>
        <w:gridCol w:w="1545"/>
        <w:gridCol w:w="53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204" w:type="pct"/>
            <w:gridSpan w:val="4"/>
            <w:tcBorders>
              <w:top w:val="single" w:color="000000" w:sz="12" w:space="0"/>
              <w:left w:val="single" w:color="000000" w:sz="12" w:space="0"/>
              <w:bottom w:val="single" w:color="000000"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品种</w:t>
            </w:r>
          </w:p>
        </w:tc>
        <w:tc>
          <w:tcPr>
            <w:tcW w:w="2796" w:type="pct"/>
            <w:tcBorders>
              <w:top w:val="single" w:color="000000" w:sz="12" w:space="0"/>
              <w:bottom w:val="single" w:color="000000" w:sz="12" w:space="0"/>
              <w:right w:val="single" w:color="000000"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出厂检验项目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85" w:type="pct"/>
            <w:vMerge w:val="restart"/>
            <w:tcBorders>
              <w:top w:val="single" w:color="000000" w:sz="12" w:space="0"/>
              <w:left w:val="single" w:color="000000" w:sz="12"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干混</w:t>
            </w:r>
          </w:p>
          <w:p>
            <w:pPr>
              <w:spacing w:line="240" w:lineRule="auto"/>
              <w:jc w:val="center"/>
              <w:rPr>
                <w:rFonts w:ascii="Times New Roman" w:hAnsi="Times New Roman"/>
                <w:sz w:val="18"/>
                <w:szCs w:val="18"/>
              </w:rPr>
            </w:pPr>
            <w:r>
              <w:rPr>
                <w:rFonts w:ascii="Times New Roman" w:hAnsi="Times New Roman"/>
                <w:sz w:val="18"/>
                <w:szCs w:val="18"/>
              </w:rPr>
              <w:t>砂浆</w:t>
            </w:r>
          </w:p>
        </w:tc>
        <w:tc>
          <w:tcPr>
            <w:tcW w:w="912" w:type="pct"/>
            <w:gridSpan w:val="2"/>
            <w:vMerge w:val="restart"/>
            <w:tcBorders>
              <w:top w:val="single" w:color="000000" w:sz="12" w:space="0"/>
              <w:left w:val="single" w:color="auto" w:sz="4"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干混砌筑砂浆</w:t>
            </w:r>
          </w:p>
        </w:tc>
        <w:tc>
          <w:tcPr>
            <w:tcW w:w="807" w:type="pct"/>
            <w:tcBorders>
              <w:top w:val="single" w:color="000000" w:sz="12" w:space="0"/>
              <w:lef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普通砌筑砂浆</w:t>
            </w:r>
          </w:p>
        </w:tc>
        <w:tc>
          <w:tcPr>
            <w:tcW w:w="2796" w:type="pct"/>
            <w:tcBorders>
              <w:top w:val="single" w:color="000000" w:sz="12" w:space="0"/>
              <w:right w:val="single" w:color="000000"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保水率、2h稠度损失率、抗压强度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85" w:type="pct"/>
            <w:vMerge w:val="continue"/>
            <w:tcBorders>
              <w:left w:val="single" w:color="000000" w:sz="12" w:space="0"/>
              <w:right w:val="single" w:color="auto" w:sz="4" w:space="0"/>
            </w:tcBorders>
            <w:vAlign w:val="center"/>
          </w:tcPr>
          <w:p>
            <w:pPr>
              <w:spacing w:line="240" w:lineRule="auto"/>
              <w:jc w:val="center"/>
              <w:rPr>
                <w:rFonts w:ascii="Times New Roman" w:hAnsi="Times New Roman"/>
                <w:sz w:val="18"/>
                <w:szCs w:val="18"/>
              </w:rPr>
            </w:pPr>
          </w:p>
        </w:tc>
        <w:tc>
          <w:tcPr>
            <w:tcW w:w="912" w:type="pct"/>
            <w:gridSpan w:val="2"/>
            <w:vMerge w:val="continue"/>
            <w:tcBorders>
              <w:left w:val="single" w:color="auto" w:sz="4" w:space="0"/>
            </w:tcBorders>
            <w:vAlign w:val="center"/>
          </w:tcPr>
          <w:p>
            <w:pPr>
              <w:spacing w:line="240" w:lineRule="auto"/>
              <w:jc w:val="center"/>
              <w:rPr>
                <w:rFonts w:ascii="Times New Roman" w:hAnsi="Times New Roman"/>
                <w:sz w:val="18"/>
                <w:szCs w:val="18"/>
              </w:rPr>
            </w:pPr>
          </w:p>
        </w:tc>
        <w:tc>
          <w:tcPr>
            <w:tcW w:w="807" w:type="pct"/>
            <w:tcBorders>
              <w:left w:val="single" w:color="auto" w:sz="4"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薄层砌筑砂浆</w:t>
            </w:r>
          </w:p>
        </w:tc>
        <w:tc>
          <w:tcPr>
            <w:tcW w:w="2796" w:type="pct"/>
            <w:tcBorders>
              <w:right w:val="single" w:color="000000" w:sz="12"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保水率、抗压强度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85" w:type="pct"/>
            <w:vMerge w:val="continue"/>
            <w:tcBorders>
              <w:left w:val="single" w:color="000000" w:sz="12" w:space="0"/>
              <w:right w:val="single" w:color="auto" w:sz="4" w:space="0"/>
            </w:tcBorders>
            <w:vAlign w:val="center"/>
          </w:tcPr>
          <w:p>
            <w:pPr>
              <w:spacing w:line="240" w:lineRule="auto"/>
              <w:jc w:val="center"/>
              <w:rPr>
                <w:rFonts w:ascii="Times New Roman" w:hAnsi="Times New Roman"/>
                <w:sz w:val="18"/>
                <w:szCs w:val="18"/>
              </w:rPr>
            </w:pPr>
          </w:p>
        </w:tc>
        <w:tc>
          <w:tcPr>
            <w:tcW w:w="912" w:type="pct"/>
            <w:gridSpan w:val="2"/>
            <w:vMerge w:val="restart"/>
            <w:tcBorders>
              <w:left w:val="single" w:color="auto" w:sz="4"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干混抹灰砂浆</w:t>
            </w:r>
          </w:p>
        </w:tc>
        <w:tc>
          <w:tcPr>
            <w:tcW w:w="807" w:type="pct"/>
            <w:tcBorders>
              <w:lef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普通抹灰砂浆</w:t>
            </w:r>
          </w:p>
        </w:tc>
        <w:tc>
          <w:tcPr>
            <w:tcW w:w="2796" w:type="pct"/>
            <w:tcBorders>
              <w:right w:val="single" w:color="000000"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保水率、2h稠度损失率、抗压强度、拉伸粘结强度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85" w:type="pct"/>
            <w:vMerge w:val="continue"/>
            <w:tcBorders>
              <w:left w:val="single" w:color="000000" w:sz="12" w:space="0"/>
              <w:right w:val="single" w:color="auto" w:sz="4" w:space="0"/>
            </w:tcBorders>
            <w:vAlign w:val="center"/>
          </w:tcPr>
          <w:p>
            <w:pPr>
              <w:spacing w:line="240" w:lineRule="auto"/>
              <w:jc w:val="center"/>
              <w:rPr>
                <w:rFonts w:ascii="Times New Roman" w:hAnsi="Times New Roman"/>
                <w:sz w:val="18"/>
                <w:szCs w:val="18"/>
              </w:rPr>
            </w:pPr>
          </w:p>
        </w:tc>
        <w:tc>
          <w:tcPr>
            <w:tcW w:w="912" w:type="pct"/>
            <w:gridSpan w:val="2"/>
            <w:vMerge w:val="continue"/>
            <w:tcBorders>
              <w:left w:val="single" w:color="auto" w:sz="4" w:space="0"/>
            </w:tcBorders>
            <w:vAlign w:val="center"/>
          </w:tcPr>
          <w:p>
            <w:pPr>
              <w:spacing w:line="240" w:lineRule="auto"/>
              <w:jc w:val="center"/>
              <w:rPr>
                <w:rFonts w:ascii="Times New Roman" w:hAnsi="Times New Roman"/>
                <w:sz w:val="18"/>
                <w:szCs w:val="18"/>
              </w:rPr>
            </w:pPr>
          </w:p>
        </w:tc>
        <w:tc>
          <w:tcPr>
            <w:tcW w:w="807" w:type="pct"/>
            <w:tcBorders>
              <w:left w:val="single" w:color="auto" w:sz="4"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薄层抹灰砂浆</w:t>
            </w:r>
          </w:p>
        </w:tc>
        <w:tc>
          <w:tcPr>
            <w:tcW w:w="2796" w:type="pct"/>
            <w:tcBorders>
              <w:right w:val="single" w:color="000000" w:sz="12"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保水率、抗压强度、拉伸粘结强度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85" w:type="pct"/>
            <w:vMerge w:val="continue"/>
            <w:tcBorders>
              <w:left w:val="single" w:color="000000" w:sz="12" w:space="0"/>
              <w:right w:val="single" w:color="auto" w:sz="4" w:space="0"/>
            </w:tcBorders>
            <w:vAlign w:val="center"/>
          </w:tcPr>
          <w:p>
            <w:pPr>
              <w:spacing w:line="240" w:lineRule="auto"/>
              <w:jc w:val="center"/>
              <w:rPr>
                <w:rFonts w:ascii="Times New Roman" w:hAnsi="Times New Roman"/>
                <w:sz w:val="18"/>
                <w:szCs w:val="18"/>
              </w:rPr>
            </w:pPr>
          </w:p>
        </w:tc>
        <w:tc>
          <w:tcPr>
            <w:tcW w:w="912" w:type="pct"/>
            <w:gridSpan w:val="2"/>
            <w:vMerge w:val="continue"/>
            <w:tcBorders>
              <w:left w:val="single" w:color="auto" w:sz="4" w:space="0"/>
            </w:tcBorders>
            <w:vAlign w:val="center"/>
          </w:tcPr>
          <w:p>
            <w:pPr>
              <w:spacing w:line="240" w:lineRule="auto"/>
              <w:jc w:val="center"/>
              <w:rPr>
                <w:rFonts w:ascii="Times New Roman" w:hAnsi="Times New Roman"/>
                <w:sz w:val="18"/>
                <w:szCs w:val="18"/>
              </w:rPr>
            </w:pPr>
          </w:p>
        </w:tc>
        <w:tc>
          <w:tcPr>
            <w:tcW w:w="807" w:type="pct"/>
            <w:tcBorders>
              <w:left w:val="single" w:color="auto" w:sz="4"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机喷抹灰砂浆</w:t>
            </w:r>
          </w:p>
        </w:tc>
        <w:tc>
          <w:tcPr>
            <w:tcW w:w="2796" w:type="pct"/>
            <w:tcBorders>
              <w:right w:val="single" w:color="000000" w:sz="12"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保水率、2h稠度损失率、压力泌水率、抗压强度、拉伸粘结强度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85" w:type="pct"/>
            <w:vMerge w:val="continue"/>
            <w:tcBorders>
              <w:left w:val="single" w:color="000000" w:sz="12" w:space="0"/>
              <w:right w:val="single" w:color="auto" w:sz="4" w:space="0"/>
            </w:tcBorders>
            <w:vAlign w:val="center"/>
          </w:tcPr>
          <w:p>
            <w:pPr>
              <w:spacing w:line="240" w:lineRule="auto"/>
              <w:jc w:val="center"/>
              <w:rPr>
                <w:rFonts w:ascii="Times New Roman" w:hAnsi="Times New Roman"/>
                <w:sz w:val="18"/>
                <w:szCs w:val="18"/>
              </w:rPr>
            </w:pPr>
          </w:p>
        </w:tc>
        <w:tc>
          <w:tcPr>
            <w:tcW w:w="1719" w:type="pct"/>
            <w:gridSpan w:val="3"/>
            <w:tcBorders>
              <w:left w:val="single" w:color="auto" w:sz="4"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干混</w:t>
            </w:r>
            <w:r>
              <w:rPr>
                <w:rFonts w:ascii="Times New Roman" w:hAnsi="Times New Roman"/>
                <w:sz w:val="18"/>
                <w:szCs w:val="18"/>
              </w:rPr>
              <w:t>地面砂浆</w:t>
            </w:r>
          </w:p>
        </w:tc>
        <w:tc>
          <w:tcPr>
            <w:tcW w:w="2796" w:type="pct"/>
            <w:tcBorders>
              <w:right w:val="single" w:color="000000"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保水率、2h稠度损失率、抗压强度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85" w:type="pct"/>
            <w:vMerge w:val="continue"/>
            <w:tcBorders>
              <w:left w:val="single" w:color="000000" w:sz="12" w:space="0"/>
              <w:bottom w:val="single" w:color="000000" w:sz="4" w:space="0"/>
              <w:right w:val="single" w:color="auto" w:sz="4" w:space="0"/>
            </w:tcBorders>
            <w:vAlign w:val="center"/>
          </w:tcPr>
          <w:p>
            <w:pPr>
              <w:spacing w:line="240" w:lineRule="auto"/>
              <w:jc w:val="center"/>
              <w:rPr>
                <w:rFonts w:ascii="Times New Roman" w:hAnsi="Times New Roman"/>
                <w:sz w:val="18"/>
                <w:szCs w:val="18"/>
              </w:rPr>
            </w:pPr>
          </w:p>
        </w:tc>
        <w:tc>
          <w:tcPr>
            <w:tcW w:w="1719" w:type="pct"/>
            <w:gridSpan w:val="3"/>
            <w:tcBorders>
              <w:left w:val="single" w:color="auto" w:sz="4" w:space="0"/>
              <w:bottom w:val="single" w:color="000000" w:sz="4"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干混</w:t>
            </w:r>
            <w:r>
              <w:rPr>
                <w:rFonts w:ascii="Times New Roman" w:hAnsi="Times New Roman"/>
                <w:sz w:val="18"/>
                <w:szCs w:val="18"/>
              </w:rPr>
              <w:t>普通防水砂浆</w:t>
            </w:r>
          </w:p>
        </w:tc>
        <w:tc>
          <w:tcPr>
            <w:tcW w:w="2796" w:type="pct"/>
            <w:tcBorders>
              <w:bottom w:val="single" w:color="000000" w:sz="4" w:space="0"/>
              <w:right w:val="single" w:color="000000"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保水率、2h稠度损失率、抗压强度、拉伸粘结强度、抗渗压力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85" w:type="pct"/>
            <w:vMerge w:val="restart"/>
            <w:tcBorders>
              <w:left w:val="single" w:color="000000" w:sz="12" w:space="0"/>
              <w:bottom w:val="single" w:color="000000" w:sz="12" w:space="0"/>
              <w:righ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湿拌</w:t>
            </w:r>
          </w:p>
          <w:p>
            <w:pPr>
              <w:spacing w:line="240" w:lineRule="auto"/>
              <w:jc w:val="center"/>
              <w:rPr>
                <w:rFonts w:ascii="Times New Roman" w:hAnsi="Times New Roman"/>
                <w:sz w:val="18"/>
                <w:szCs w:val="18"/>
              </w:rPr>
            </w:pPr>
            <w:r>
              <w:rPr>
                <w:rFonts w:ascii="Times New Roman" w:hAnsi="Times New Roman"/>
                <w:sz w:val="18"/>
                <w:szCs w:val="18"/>
              </w:rPr>
              <w:t>砂浆</w:t>
            </w:r>
          </w:p>
        </w:tc>
        <w:tc>
          <w:tcPr>
            <w:tcW w:w="1719" w:type="pct"/>
            <w:gridSpan w:val="3"/>
            <w:tcBorders>
              <w:left w:val="single" w:color="auto"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湿拌砌筑砂浆</w:t>
            </w:r>
          </w:p>
        </w:tc>
        <w:tc>
          <w:tcPr>
            <w:tcW w:w="2796" w:type="pct"/>
            <w:tcBorders>
              <w:right w:val="single" w:color="000000"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稠度、保水率、</w:t>
            </w:r>
            <w:r>
              <w:rPr>
                <w:rFonts w:hint="eastAsia" w:ascii="Times New Roman" w:hAnsi="Times New Roman"/>
                <w:sz w:val="18"/>
                <w:szCs w:val="18"/>
              </w:rPr>
              <w:t>保塑时间、</w:t>
            </w:r>
            <w:r>
              <w:rPr>
                <w:rFonts w:ascii="Times New Roman" w:hAnsi="Times New Roman"/>
                <w:sz w:val="18"/>
                <w:szCs w:val="18"/>
              </w:rPr>
              <w:t>抗压强度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85" w:type="pct"/>
            <w:vMerge w:val="continue"/>
            <w:tcBorders>
              <w:left w:val="single" w:color="000000" w:sz="12" w:space="0"/>
              <w:bottom w:val="single" w:color="000000" w:sz="12" w:space="0"/>
              <w:right w:val="single" w:color="auto" w:sz="4" w:space="0"/>
            </w:tcBorders>
            <w:vAlign w:val="center"/>
          </w:tcPr>
          <w:p>
            <w:pPr>
              <w:spacing w:line="240" w:lineRule="auto"/>
              <w:jc w:val="center"/>
              <w:rPr>
                <w:rFonts w:ascii="Times New Roman" w:hAnsi="Times New Roman"/>
                <w:sz w:val="18"/>
                <w:szCs w:val="18"/>
              </w:rPr>
            </w:pPr>
          </w:p>
        </w:tc>
        <w:tc>
          <w:tcPr>
            <w:tcW w:w="908" w:type="pct"/>
            <w:vMerge w:val="restart"/>
            <w:tcBorders>
              <w:left w:val="single" w:color="auto" w:sz="4"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湿拌抹灰砂浆</w:t>
            </w:r>
          </w:p>
        </w:tc>
        <w:tc>
          <w:tcPr>
            <w:tcW w:w="811" w:type="pct"/>
            <w:gridSpan w:val="2"/>
            <w:tcBorders>
              <w:left w:val="single" w:color="auto" w:sz="4"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普通抹灰砂浆</w:t>
            </w:r>
          </w:p>
        </w:tc>
        <w:tc>
          <w:tcPr>
            <w:tcW w:w="2796" w:type="pct"/>
            <w:tcBorders>
              <w:right w:val="single" w:color="000000"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稠度、保水率、</w:t>
            </w:r>
            <w:r>
              <w:rPr>
                <w:rFonts w:hint="eastAsia" w:ascii="Times New Roman" w:hAnsi="Times New Roman"/>
                <w:sz w:val="18"/>
                <w:szCs w:val="18"/>
              </w:rPr>
              <w:t>保塑</w:t>
            </w:r>
            <w:r>
              <w:rPr>
                <w:rFonts w:ascii="Times New Roman" w:hAnsi="Times New Roman"/>
                <w:sz w:val="18"/>
                <w:szCs w:val="18"/>
              </w:rPr>
              <w:t>时间、抗压强度、拉伸粘结强度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85" w:type="pct"/>
            <w:vMerge w:val="continue"/>
            <w:tcBorders>
              <w:left w:val="single" w:color="000000" w:sz="12" w:space="0"/>
              <w:bottom w:val="single" w:color="000000" w:sz="12" w:space="0"/>
              <w:right w:val="single" w:color="auto" w:sz="4" w:space="0"/>
            </w:tcBorders>
            <w:vAlign w:val="center"/>
          </w:tcPr>
          <w:p>
            <w:pPr>
              <w:spacing w:line="240" w:lineRule="auto"/>
              <w:jc w:val="center"/>
              <w:rPr>
                <w:rFonts w:ascii="Times New Roman" w:hAnsi="Times New Roman"/>
                <w:sz w:val="18"/>
                <w:szCs w:val="18"/>
              </w:rPr>
            </w:pPr>
          </w:p>
        </w:tc>
        <w:tc>
          <w:tcPr>
            <w:tcW w:w="908" w:type="pct"/>
            <w:vMerge w:val="continue"/>
            <w:tcBorders>
              <w:left w:val="single" w:color="auto" w:sz="4" w:space="0"/>
            </w:tcBorders>
            <w:vAlign w:val="center"/>
          </w:tcPr>
          <w:p>
            <w:pPr>
              <w:spacing w:line="240" w:lineRule="auto"/>
              <w:jc w:val="center"/>
              <w:rPr>
                <w:rFonts w:ascii="Times New Roman" w:hAnsi="Times New Roman"/>
                <w:sz w:val="18"/>
                <w:szCs w:val="18"/>
              </w:rPr>
            </w:pPr>
          </w:p>
        </w:tc>
        <w:tc>
          <w:tcPr>
            <w:tcW w:w="811" w:type="pct"/>
            <w:gridSpan w:val="2"/>
            <w:tcBorders>
              <w:left w:val="single" w:color="auto" w:sz="4"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机喷抹灰砂浆</w:t>
            </w:r>
          </w:p>
        </w:tc>
        <w:tc>
          <w:tcPr>
            <w:tcW w:w="2796" w:type="pct"/>
            <w:tcBorders>
              <w:right w:val="single" w:color="000000" w:sz="12" w:space="0"/>
            </w:tcBorders>
            <w:vAlign w:val="center"/>
          </w:tcPr>
          <w:p>
            <w:pPr>
              <w:spacing w:line="240" w:lineRule="auto"/>
              <w:jc w:val="center"/>
              <w:rPr>
                <w:rFonts w:ascii="Times New Roman" w:hAnsi="Times New Roman"/>
                <w:sz w:val="18"/>
                <w:szCs w:val="18"/>
              </w:rPr>
            </w:pPr>
            <w:r>
              <w:rPr>
                <w:rFonts w:hint="eastAsia" w:ascii="Times New Roman" w:hAnsi="Times New Roman"/>
                <w:sz w:val="18"/>
                <w:szCs w:val="18"/>
              </w:rPr>
              <w:t>稠度、保水率、保塑时间、压力泌水率、抗压强度、拉伸粘结强度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85" w:type="pct"/>
            <w:vMerge w:val="continue"/>
            <w:tcBorders>
              <w:left w:val="single" w:color="000000" w:sz="12" w:space="0"/>
              <w:bottom w:val="single" w:color="000000" w:sz="12" w:space="0"/>
              <w:right w:val="single" w:color="auto" w:sz="4" w:space="0"/>
            </w:tcBorders>
            <w:vAlign w:val="center"/>
          </w:tcPr>
          <w:p>
            <w:pPr>
              <w:spacing w:line="240" w:lineRule="auto"/>
              <w:jc w:val="center"/>
              <w:rPr>
                <w:rFonts w:ascii="Times New Roman" w:hAnsi="Times New Roman"/>
                <w:sz w:val="18"/>
                <w:szCs w:val="18"/>
              </w:rPr>
            </w:pPr>
          </w:p>
        </w:tc>
        <w:tc>
          <w:tcPr>
            <w:tcW w:w="1719" w:type="pct"/>
            <w:gridSpan w:val="3"/>
            <w:tcBorders>
              <w:left w:val="single" w:color="auto" w:sz="4" w:space="0"/>
              <w:bottom w:val="single" w:color="000000"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湿拌地面砂浆</w:t>
            </w:r>
          </w:p>
        </w:tc>
        <w:tc>
          <w:tcPr>
            <w:tcW w:w="2796" w:type="pct"/>
            <w:tcBorders>
              <w:bottom w:val="single" w:color="000000" w:sz="4" w:space="0"/>
              <w:right w:val="single" w:color="000000"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稠度、保水率、</w:t>
            </w:r>
            <w:r>
              <w:rPr>
                <w:rFonts w:hint="eastAsia" w:ascii="Times New Roman" w:hAnsi="Times New Roman"/>
                <w:sz w:val="18"/>
                <w:szCs w:val="18"/>
              </w:rPr>
              <w:t>保塑</w:t>
            </w:r>
            <w:r>
              <w:rPr>
                <w:rFonts w:ascii="Times New Roman" w:hAnsi="Times New Roman"/>
                <w:sz w:val="18"/>
                <w:szCs w:val="18"/>
              </w:rPr>
              <w:t>时间、抗压强度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85" w:type="pct"/>
            <w:vMerge w:val="continue"/>
            <w:tcBorders>
              <w:left w:val="single" w:color="000000" w:sz="12" w:space="0"/>
              <w:bottom w:val="single" w:color="000000" w:sz="12" w:space="0"/>
              <w:right w:val="single" w:color="auto" w:sz="4" w:space="0"/>
            </w:tcBorders>
            <w:vAlign w:val="center"/>
          </w:tcPr>
          <w:p>
            <w:pPr>
              <w:spacing w:line="240" w:lineRule="auto"/>
              <w:jc w:val="center"/>
              <w:rPr>
                <w:rFonts w:ascii="Times New Roman" w:hAnsi="Times New Roman"/>
                <w:sz w:val="18"/>
                <w:szCs w:val="18"/>
              </w:rPr>
            </w:pPr>
          </w:p>
        </w:tc>
        <w:tc>
          <w:tcPr>
            <w:tcW w:w="1719" w:type="pct"/>
            <w:gridSpan w:val="3"/>
            <w:tcBorders>
              <w:left w:val="single" w:color="auto" w:sz="4" w:space="0"/>
              <w:bottom w:val="single" w:color="000000"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湿拌防水砂浆</w:t>
            </w:r>
          </w:p>
        </w:tc>
        <w:tc>
          <w:tcPr>
            <w:tcW w:w="2796" w:type="pct"/>
            <w:tcBorders>
              <w:bottom w:val="single" w:color="000000" w:sz="12" w:space="0"/>
              <w:right w:val="single" w:color="000000"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稠度、保水率、</w:t>
            </w:r>
            <w:r>
              <w:rPr>
                <w:rFonts w:hint="eastAsia" w:ascii="Times New Roman" w:hAnsi="Times New Roman"/>
                <w:sz w:val="18"/>
                <w:szCs w:val="18"/>
              </w:rPr>
              <w:t>保塑</w:t>
            </w:r>
            <w:r>
              <w:rPr>
                <w:rFonts w:ascii="Times New Roman" w:hAnsi="Times New Roman"/>
                <w:sz w:val="18"/>
                <w:szCs w:val="18"/>
              </w:rPr>
              <w:t>时间、抗压强度、拉伸粘结强度、抗渗压力</w:t>
            </w:r>
          </w:p>
        </w:tc>
      </w:tr>
    </w:tbl>
    <w:p>
      <w:pPr>
        <w:pStyle w:val="166"/>
        <w:spacing w:before="312" w:beforeLines="100"/>
        <w:rPr>
          <w:rFonts w:ascii="Times New Roman"/>
          <w:szCs w:val="21"/>
        </w:rPr>
      </w:pPr>
      <w:r>
        <w:rPr>
          <w:rFonts w:ascii="Times New Roman"/>
          <w:szCs w:val="21"/>
        </w:rPr>
        <w:t>干混砂浆组批方法</w:t>
      </w:r>
      <w:r>
        <w:rPr>
          <w:rFonts w:hint="eastAsia" w:ascii="Times New Roman"/>
          <w:szCs w:val="21"/>
        </w:rPr>
        <w:t>和</w:t>
      </w:r>
      <w:r>
        <w:rPr>
          <w:rFonts w:ascii="Times New Roman"/>
          <w:szCs w:val="21"/>
        </w:rPr>
        <w:t>出厂检验取样应符合下列规定：</w:t>
      </w:r>
    </w:p>
    <w:p>
      <w:pPr>
        <w:pStyle w:val="166"/>
        <w:numPr>
          <w:ilvl w:val="0"/>
          <w:numId w:val="42"/>
        </w:numPr>
        <w:rPr>
          <w:rFonts w:ascii="Times New Roman"/>
          <w:szCs w:val="21"/>
        </w:rPr>
      </w:pPr>
      <w:r>
        <w:rPr>
          <w:rFonts w:ascii="Times New Roman"/>
          <w:szCs w:val="21"/>
        </w:rPr>
        <w:t>根据生产厂产量和生产设备条件</w:t>
      </w:r>
      <w:r>
        <w:rPr>
          <w:rFonts w:hint="eastAsia" w:ascii="Times New Roman"/>
          <w:szCs w:val="21"/>
        </w:rPr>
        <w:t>，</w:t>
      </w:r>
      <w:r>
        <w:rPr>
          <w:rFonts w:ascii="Times New Roman"/>
          <w:szCs w:val="21"/>
        </w:rPr>
        <w:t>按同品种、同规格型号分批，</w:t>
      </w:r>
      <w:r>
        <w:rPr>
          <w:rFonts w:hint="eastAsia" w:ascii="Times New Roman"/>
          <w:szCs w:val="21"/>
        </w:rPr>
        <w:t>干混砂浆</w:t>
      </w:r>
      <w:r>
        <w:rPr>
          <w:rFonts w:ascii="Times New Roman"/>
          <w:szCs w:val="21"/>
        </w:rPr>
        <w:t>组批规则应符合表</w:t>
      </w:r>
      <w:r>
        <w:rPr>
          <w:rFonts w:hint="eastAsia" w:ascii="Times New Roman"/>
          <w:szCs w:val="21"/>
        </w:rPr>
        <w:t>15</w:t>
      </w:r>
      <w:r>
        <w:rPr>
          <w:rFonts w:ascii="Times New Roman"/>
          <w:szCs w:val="21"/>
        </w:rPr>
        <w:t>要求</w:t>
      </w:r>
      <w:r>
        <w:rPr>
          <w:rFonts w:hint="eastAsia" w:ascii="Times New Roman"/>
          <w:szCs w:val="21"/>
        </w:rPr>
        <w:t>；</w:t>
      </w:r>
    </w:p>
    <w:p>
      <w:pPr>
        <w:pStyle w:val="166"/>
        <w:numPr>
          <w:ilvl w:val="0"/>
          <w:numId w:val="42"/>
        </w:numPr>
        <w:rPr>
          <w:rFonts w:ascii="Times New Roman"/>
          <w:szCs w:val="21"/>
        </w:rPr>
      </w:pPr>
      <w:r>
        <w:rPr>
          <w:rFonts w:hint="eastAsia" w:ascii="Times New Roman"/>
          <w:szCs w:val="21"/>
        </w:rPr>
        <w:t>应在出料口</w:t>
      </w:r>
      <w:r>
        <w:rPr>
          <w:rFonts w:ascii="Times New Roman"/>
          <w:szCs w:val="21"/>
        </w:rPr>
        <w:t>随机</w:t>
      </w:r>
      <w:r>
        <w:rPr>
          <w:rFonts w:hint="eastAsia" w:ascii="Times New Roman"/>
          <w:szCs w:val="21"/>
        </w:rPr>
        <w:t>取样</w:t>
      </w:r>
      <w:r>
        <w:rPr>
          <w:rFonts w:ascii="Times New Roman"/>
          <w:szCs w:val="21"/>
        </w:rPr>
        <w:t>，</w:t>
      </w:r>
      <w:r>
        <w:rPr>
          <w:rFonts w:hint="eastAsia" w:ascii="Times New Roman"/>
          <w:szCs w:val="21"/>
        </w:rPr>
        <w:t>试样应混合均匀。试样总量</w:t>
      </w:r>
      <w:r>
        <w:rPr>
          <w:rFonts w:ascii="Times New Roman"/>
          <w:szCs w:val="21"/>
        </w:rPr>
        <w:t>不</w:t>
      </w:r>
      <w:r>
        <w:rPr>
          <w:rFonts w:hint="eastAsia" w:ascii="Times New Roman"/>
          <w:szCs w:val="21"/>
        </w:rPr>
        <w:t>宜</w:t>
      </w:r>
      <w:r>
        <w:rPr>
          <w:rFonts w:ascii="Times New Roman"/>
          <w:szCs w:val="21"/>
        </w:rPr>
        <w:t>少于试验用量的3倍。</w:t>
      </w:r>
    </w:p>
    <w:p>
      <w:pPr>
        <w:pStyle w:val="166"/>
        <w:numPr>
          <w:ilvl w:val="0"/>
          <w:numId w:val="0"/>
        </w:numPr>
        <w:spacing w:before="156" w:beforeLines="50" w:after="156" w:afterLines="50"/>
        <w:jc w:val="center"/>
        <w:rPr>
          <w:rFonts w:ascii="Times New Roman" w:eastAsia="黑体"/>
          <w:szCs w:val="21"/>
        </w:rPr>
      </w:pPr>
      <w:r>
        <w:rPr>
          <w:rFonts w:ascii="Times New Roman" w:eastAsia="黑体"/>
          <w:szCs w:val="21"/>
        </w:rPr>
        <w:t>表</w:t>
      </w:r>
      <w:r>
        <w:rPr>
          <w:rFonts w:hint="eastAsia" w:ascii="Times New Roman" w:eastAsia="黑体"/>
          <w:szCs w:val="21"/>
        </w:rPr>
        <w:t>15</w:t>
      </w:r>
      <w:r>
        <w:rPr>
          <w:rFonts w:ascii="Times New Roman" w:eastAsia="黑体"/>
          <w:szCs w:val="21"/>
        </w:rPr>
        <w:t xml:space="preserve"> 干混砂浆组批规则</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1"/>
        <w:gridCol w:w="53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226" w:type="pct"/>
            <w:tcBorders>
              <w:top w:val="single" w:color="000000" w:sz="12" w:space="0"/>
              <w:left w:val="single" w:color="000000" w:sz="12" w:space="0"/>
              <w:bottom w:val="single" w:color="000000" w:sz="12" w:space="0"/>
            </w:tcBorders>
            <w:vAlign w:val="center"/>
          </w:tcPr>
          <w:p>
            <w:pPr>
              <w:spacing w:line="276" w:lineRule="auto"/>
              <w:jc w:val="center"/>
              <w:rPr>
                <w:rFonts w:ascii="Times New Roman" w:hAnsi="Times New Roman"/>
                <w:sz w:val="18"/>
                <w:szCs w:val="18"/>
              </w:rPr>
            </w:pPr>
            <w:r>
              <w:rPr>
                <w:rFonts w:ascii="Times New Roman" w:hAnsi="Times New Roman"/>
                <w:sz w:val="18"/>
                <w:szCs w:val="18"/>
              </w:rPr>
              <w:t>年产量</w:t>
            </w:r>
          </w:p>
        </w:tc>
        <w:tc>
          <w:tcPr>
            <w:tcW w:w="2774" w:type="pct"/>
            <w:tcBorders>
              <w:top w:val="single" w:color="000000" w:sz="12" w:space="0"/>
              <w:bottom w:val="single" w:color="000000" w:sz="12" w:space="0"/>
              <w:right w:val="single" w:color="000000" w:sz="12" w:space="0"/>
            </w:tcBorders>
            <w:vAlign w:val="center"/>
          </w:tcPr>
          <w:p>
            <w:pPr>
              <w:spacing w:line="276" w:lineRule="auto"/>
              <w:jc w:val="center"/>
              <w:rPr>
                <w:rFonts w:ascii="Times New Roman" w:hAnsi="Times New Roman"/>
                <w:sz w:val="18"/>
                <w:szCs w:val="18"/>
              </w:rPr>
            </w:pPr>
            <w:r>
              <w:rPr>
                <w:rFonts w:ascii="Times New Roman" w:hAnsi="Times New Roman"/>
                <w:sz w:val="18"/>
                <w:szCs w:val="18"/>
              </w:rPr>
              <w:t>产品批量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226" w:type="pct"/>
            <w:tcBorders>
              <w:top w:val="single" w:color="000000" w:sz="12" w:space="0"/>
              <w:left w:val="single" w:color="000000" w:sz="12" w:space="0"/>
              <w:bottom w:val="single" w:color="000000" w:sz="4" w:space="0"/>
            </w:tcBorders>
            <w:vAlign w:val="center"/>
          </w:tcPr>
          <w:p>
            <w:pPr>
              <w:spacing w:line="276" w:lineRule="auto"/>
              <w:jc w:val="center"/>
              <w:rPr>
                <w:rFonts w:ascii="Times New Roman" w:hAnsi="Times New Roman"/>
                <w:sz w:val="18"/>
                <w:szCs w:val="18"/>
              </w:rPr>
            </w:pPr>
            <w:r>
              <w:rPr>
                <w:rFonts w:ascii="Times New Roman" w:hAnsi="Times New Roman"/>
                <w:sz w:val="18"/>
                <w:szCs w:val="18"/>
              </w:rPr>
              <w:t>10万吨及以上</w:t>
            </w:r>
          </w:p>
        </w:tc>
        <w:tc>
          <w:tcPr>
            <w:tcW w:w="2774" w:type="pct"/>
            <w:tcBorders>
              <w:top w:val="single" w:color="000000" w:sz="12" w:space="0"/>
              <w:bottom w:val="single" w:color="000000" w:sz="4" w:space="0"/>
              <w:right w:val="single" w:color="000000" w:sz="12" w:space="0"/>
            </w:tcBorders>
            <w:vAlign w:val="center"/>
          </w:tcPr>
          <w:p>
            <w:pPr>
              <w:spacing w:line="276" w:lineRule="auto"/>
              <w:jc w:val="center"/>
              <w:rPr>
                <w:rFonts w:ascii="Times New Roman" w:hAnsi="Times New Roman"/>
                <w:sz w:val="18"/>
                <w:szCs w:val="18"/>
              </w:rPr>
            </w:pPr>
            <w:r>
              <w:rPr>
                <w:rFonts w:ascii="Times New Roman" w:hAnsi="Times New Roman"/>
                <w:sz w:val="18"/>
                <w:szCs w:val="18"/>
              </w:rPr>
              <w:t>以不超过800t或1d产量为一批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226" w:type="pct"/>
            <w:tcBorders>
              <w:left w:val="single" w:color="000000" w:sz="12" w:space="0"/>
              <w:bottom w:val="single" w:color="000000" w:sz="4" w:space="0"/>
            </w:tcBorders>
            <w:vAlign w:val="center"/>
          </w:tcPr>
          <w:p>
            <w:pPr>
              <w:spacing w:line="276" w:lineRule="auto"/>
              <w:jc w:val="center"/>
              <w:rPr>
                <w:rFonts w:ascii="Times New Roman" w:hAnsi="Times New Roman"/>
                <w:sz w:val="18"/>
                <w:szCs w:val="18"/>
              </w:rPr>
            </w:pPr>
            <w:r>
              <w:rPr>
                <w:rFonts w:ascii="Times New Roman" w:hAnsi="Times New Roman"/>
                <w:sz w:val="18"/>
                <w:szCs w:val="18"/>
              </w:rPr>
              <w:t>4万吨～10万吨</w:t>
            </w:r>
          </w:p>
        </w:tc>
        <w:tc>
          <w:tcPr>
            <w:tcW w:w="2774" w:type="pct"/>
            <w:tcBorders>
              <w:bottom w:val="single" w:color="000000" w:sz="4" w:space="0"/>
              <w:right w:val="single" w:color="000000" w:sz="12" w:space="0"/>
            </w:tcBorders>
            <w:vAlign w:val="center"/>
          </w:tcPr>
          <w:p>
            <w:pPr>
              <w:spacing w:line="276" w:lineRule="auto"/>
              <w:jc w:val="center"/>
              <w:rPr>
                <w:rFonts w:ascii="Times New Roman" w:hAnsi="Times New Roman"/>
                <w:sz w:val="18"/>
                <w:szCs w:val="18"/>
              </w:rPr>
            </w:pPr>
            <w:r>
              <w:rPr>
                <w:rFonts w:ascii="Times New Roman" w:hAnsi="Times New Roman"/>
                <w:sz w:val="18"/>
                <w:szCs w:val="18"/>
              </w:rPr>
              <w:t>以不超过600t或1d产量为一批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226" w:type="pct"/>
            <w:tcBorders>
              <w:top w:val="single" w:color="000000" w:sz="4" w:space="0"/>
              <w:left w:val="single" w:color="000000" w:sz="12" w:space="0"/>
              <w:bottom w:val="single" w:color="000000" w:sz="4" w:space="0"/>
            </w:tcBorders>
            <w:vAlign w:val="center"/>
          </w:tcPr>
          <w:p>
            <w:pPr>
              <w:spacing w:line="276" w:lineRule="auto"/>
              <w:jc w:val="center"/>
              <w:rPr>
                <w:rFonts w:ascii="Times New Roman" w:hAnsi="Times New Roman"/>
                <w:sz w:val="18"/>
                <w:szCs w:val="18"/>
              </w:rPr>
            </w:pPr>
            <w:r>
              <w:t>1万吨～4万吨</w:t>
            </w:r>
          </w:p>
        </w:tc>
        <w:tc>
          <w:tcPr>
            <w:tcW w:w="2774" w:type="pct"/>
            <w:tcBorders>
              <w:top w:val="single" w:color="000000" w:sz="4" w:space="0"/>
              <w:bottom w:val="single" w:color="000000" w:sz="4" w:space="0"/>
              <w:right w:val="single" w:color="000000" w:sz="12" w:space="0"/>
            </w:tcBorders>
            <w:vAlign w:val="center"/>
          </w:tcPr>
          <w:p>
            <w:pPr>
              <w:spacing w:line="276" w:lineRule="auto"/>
              <w:jc w:val="center"/>
              <w:rPr>
                <w:rFonts w:ascii="Times New Roman" w:hAnsi="Times New Roman"/>
                <w:sz w:val="18"/>
                <w:szCs w:val="18"/>
              </w:rPr>
            </w:pPr>
            <w:r>
              <w:t>以不超过400</w:t>
            </w:r>
            <w:r>
              <w:rPr>
                <w:rFonts w:hint="eastAsia"/>
              </w:rPr>
              <w:t>t</w:t>
            </w:r>
            <w:r>
              <w:t>或1d产量为一批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226" w:type="pct"/>
            <w:tcBorders>
              <w:top w:val="single" w:color="000000" w:sz="4" w:space="0"/>
              <w:left w:val="single" w:color="000000" w:sz="12" w:space="0"/>
              <w:bottom w:val="single" w:color="000000" w:sz="12" w:space="0"/>
            </w:tcBorders>
            <w:vAlign w:val="center"/>
          </w:tcPr>
          <w:p>
            <w:pPr>
              <w:spacing w:line="276" w:lineRule="auto"/>
              <w:jc w:val="center"/>
              <w:rPr>
                <w:rFonts w:ascii="Times New Roman" w:hAnsi="Times New Roman"/>
                <w:sz w:val="18"/>
                <w:szCs w:val="18"/>
              </w:rPr>
            </w:pPr>
            <w:r>
              <w:t>1万吨以下</w:t>
            </w:r>
          </w:p>
        </w:tc>
        <w:tc>
          <w:tcPr>
            <w:tcW w:w="2774" w:type="pct"/>
            <w:tcBorders>
              <w:top w:val="single" w:color="000000" w:sz="4" w:space="0"/>
              <w:bottom w:val="single" w:color="000000" w:sz="12" w:space="0"/>
              <w:right w:val="single" w:color="000000" w:sz="12" w:space="0"/>
            </w:tcBorders>
            <w:vAlign w:val="center"/>
          </w:tcPr>
          <w:p>
            <w:pPr>
              <w:spacing w:line="276" w:lineRule="auto"/>
              <w:jc w:val="center"/>
              <w:rPr>
                <w:rFonts w:ascii="Times New Roman" w:hAnsi="Times New Roman"/>
                <w:sz w:val="18"/>
                <w:szCs w:val="18"/>
              </w:rPr>
            </w:pPr>
            <w:r>
              <w:t>以不超过200</w:t>
            </w:r>
            <w:r>
              <w:rPr>
                <w:rFonts w:hint="eastAsia"/>
              </w:rPr>
              <w:t>t</w:t>
            </w:r>
            <w:r>
              <w:t>或1d产量为一批</w:t>
            </w:r>
          </w:p>
        </w:tc>
      </w:tr>
    </w:tbl>
    <w:p>
      <w:pPr>
        <w:pStyle w:val="166"/>
        <w:spacing w:before="312" w:beforeLines="100"/>
        <w:rPr>
          <w:rFonts w:ascii="Times New Roman"/>
          <w:szCs w:val="21"/>
        </w:rPr>
      </w:pPr>
      <w:r>
        <w:rPr>
          <w:rFonts w:hint="eastAsia" w:ascii="Times New Roman"/>
          <w:szCs w:val="21"/>
        </w:rPr>
        <w:t>出厂检验的</w:t>
      </w:r>
      <w:r>
        <w:rPr>
          <w:rFonts w:ascii="Times New Roman"/>
          <w:szCs w:val="21"/>
        </w:rPr>
        <w:t>湿拌砂浆</w:t>
      </w:r>
      <w:r>
        <w:rPr>
          <w:rFonts w:hint="eastAsia" w:ascii="Times New Roman"/>
          <w:szCs w:val="21"/>
        </w:rPr>
        <w:t>试样应在搅拌地点随机取样，试验取样的总量不宜少于试验用量的3倍，取样频率和组批应符合下列规定：</w:t>
      </w:r>
    </w:p>
    <w:p>
      <w:pPr>
        <w:pStyle w:val="166"/>
        <w:numPr>
          <w:ilvl w:val="0"/>
          <w:numId w:val="43"/>
        </w:numPr>
        <w:rPr>
          <w:rFonts w:ascii="Times New Roman"/>
          <w:szCs w:val="21"/>
        </w:rPr>
      </w:pPr>
      <w:r>
        <w:rPr>
          <w:rFonts w:ascii="Times New Roman"/>
          <w:szCs w:val="21"/>
        </w:rPr>
        <w:t>稠度、保水率、</w:t>
      </w:r>
      <w:r>
        <w:rPr>
          <w:rFonts w:hint="eastAsia" w:ascii="Times New Roman"/>
          <w:szCs w:val="21"/>
        </w:rPr>
        <w:t>保塑时间、压力泌水率、</w:t>
      </w:r>
      <w:r>
        <w:rPr>
          <w:rFonts w:ascii="Times New Roman"/>
          <w:szCs w:val="21"/>
        </w:rPr>
        <w:t>抗压强度和拉伸粘结强度检验的试样，每50m</w:t>
      </w:r>
      <w:r>
        <w:rPr>
          <w:rFonts w:ascii="Times New Roman"/>
          <w:szCs w:val="21"/>
          <w:vertAlign w:val="superscript"/>
        </w:rPr>
        <w:t>3</w:t>
      </w:r>
      <w:r>
        <w:rPr>
          <w:rFonts w:ascii="Times New Roman"/>
          <w:szCs w:val="21"/>
        </w:rPr>
        <w:t>相同配合比的湿拌砂浆取样应不少于1次；每一</w:t>
      </w:r>
      <w:r>
        <w:rPr>
          <w:rFonts w:hint="eastAsia" w:ascii="Times New Roman"/>
          <w:szCs w:val="21"/>
        </w:rPr>
        <w:t>工作班</w:t>
      </w:r>
      <w:r>
        <w:rPr>
          <w:rFonts w:ascii="Times New Roman"/>
          <w:szCs w:val="21"/>
        </w:rPr>
        <w:t>相同配合比的湿拌砂浆不足50m</w:t>
      </w:r>
      <w:r>
        <w:rPr>
          <w:rFonts w:ascii="Times New Roman"/>
          <w:szCs w:val="21"/>
          <w:vertAlign w:val="superscript"/>
        </w:rPr>
        <w:t>3</w:t>
      </w:r>
      <w:r>
        <w:rPr>
          <w:rFonts w:ascii="Times New Roman"/>
          <w:szCs w:val="21"/>
        </w:rPr>
        <w:t>时，取样不应少于1次</w:t>
      </w:r>
      <w:r>
        <w:rPr>
          <w:rFonts w:hint="eastAsia" w:ascii="Times New Roman"/>
          <w:szCs w:val="21"/>
        </w:rPr>
        <w:t>；</w:t>
      </w:r>
    </w:p>
    <w:p>
      <w:pPr>
        <w:pStyle w:val="166"/>
        <w:numPr>
          <w:ilvl w:val="0"/>
          <w:numId w:val="43"/>
        </w:numPr>
        <w:rPr>
          <w:rFonts w:ascii="Times New Roman"/>
          <w:szCs w:val="21"/>
        </w:rPr>
      </w:pPr>
      <w:r>
        <w:rPr>
          <w:rFonts w:ascii="Times New Roman"/>
          <w:szCs w:val="21"/>
        </w:rPr>
        <w:t>抗渗压力检验的试样，每100m</w:t>
      </w:r>
      <w:r>
        <w:rPr>
          <w:rFonts w:ascii="Times New Roman"/>
          <w:szCs w:val="21"/>
          <w:vertAlign w:val="superscript"/>
        </w:rPr>
        <w:t>3</w:t>
      </w:r>
      <w:r>
        <w:rPr>
          <w:rFonts w:ascii="Times New Roman"/>
          <w:szCs w:val="21"/>
        </w:rPr>
        <w:t>相同配合比的湿拌砂浆取样不应少于1次；每一</w:t>
      </w:r>
      <w:r>
        <w:rPr>
          <w:rFonts w:hint="eastAsia" w:ascii="Times New Roman"/>
          <w:szCs w:val="21"/>
        </w:rPr>
        <w:t>工作班</w:t>
      </w:r>
      <w:r>
        <w:rPr>
          <w:rFonts w:ascii="Times New Roman"/>
          <w:szCs w:val="21"/>
        </w:rPr>
        <w:t>相同配合比的湿拌砂浆不足100m</w:t>
      </w:r>
      <w:r>
        <w:rPr>
          <w:rFonts w:ascii="Times New Roman"/>
          <w:szCs w:val="21"/>
          <w:vertAlign w:val="superscript"/>
        </w:rPr>
        <w:t>3</w:t>
      </w:r>
      <w:r>
        <w:rPr>
          <w:rFonts w:ascii="Times New Roman"/>
          <w:szCs w:val="21"/>
        </w:rPr>
        <w:t>时，取样不应少于1次。</w:t>
      </w:r>
    </w:p>
    <w:p>
      <w:pPr>
        <w:pStyle w:val="166"/>
        <w:rPr>
          <w:rFonts w:ascii="Times New Roman"/>
          <w:szCs w:val="21"/>
        </w:rPr>
      </w:pPr>
      <w:r>
        <w:rPr>
          <w:rFonts w:ascii="Times New Roman"/>
          <w:szCs w:val="21"/>
        </w:rPr>
        <w:t>预拌砂浆检验项目符合本规程第</w:t>
      </w:r>
      <w:r>
        <w:rPr>
          <w:rFonts w:hint="eastAsia" w:ascii="Times New Roman"/>
          <w:szCs w:val="21"/>
        </w:rPr>
        <w:t>4</w:t>
      </w:r>
      <w:r>
        <w:rPr>
          <w:rFonts w:ascii="Times New Roman"/>
          <w:szCs w:val="21"/>
        </w:rPr>
        <w:t>.2节相关要求时，可判定该批产品合格</w:t>
      </w:r>
      <w:r>
        <w:rPr>
          <w:rFonts w:hint="eastAsia" w:ascii="Times New Roman"/>
          <w:szCs w:val="21"/>
        </w:rPr>
        <w:t>；</w:t>
      </w:r>
      <w:r>
        <w:rPr>
          <w:rFonts w:ascii="Times New Roman"/>
          <w:szCs w:val="21"/>
        </w:rPr>
        <w:t>当有一项或一项以上指标不符合要求时，则判定该批产品不合格。</w:t>
      </w:r>
    </w:p>
    <w:p>
      <w:pPr>
        <w:pStyle w:val="105"/>
        <w:spacing w:before="312" w:after="312"/>
      </w:pPr>
      <w:r>
        <w:rPr>
          <w:rFonts w:hint="eastAsia"/>
        </w:rPr>
        <w:t>施工质量控制</w:t>
      </w:r>
    </w:p>
    <w:p>
      <w:pPr>
        <w:pStyle w:val="106"/>
        <w:spacing w:before="156" w:after="156"/>
      </w:pPr>
      <w:r>
        <w:rPr>
          <w:rFonts w:hint="eastAsia"/>
        </w:rPr>
        <w:t>一般规定</w:t>
      </w:r>
    </w:p>
    <w:p>
      <w:pPr>
        <w:pStyle w:val="166"/>
        <w:spacing w:before="156" w:beforeLines="50"/>
        <w:rPr>
          <w:rFonts w:ascii="Times New Roman"/>
          <w:szCs w:val="21"/>
        </w:rPr>
      </w:pPr>
      <w:r>
        <w:rPr>
          <w:rFonts w:ascii="Times New Roman"/>
          <w:szCs w:val="21"/>
        </w:rPr>
        <w:t>预拌砂浆的品种、强度等级选用应根据设计、施工等要求确定。</w:t>
      </w:r>
    </w:p>
    <w:p>
      <w:pPr>
        <w:pStyle w:val="166"/>
        <w:rPr>
          <w:rFonts w:ascii="Times New Roman"/>
          <w:szCs w:val="21"/>
        </w:rPr>
      </w:pPr>
      <w:r>
        <w:rPr>
          <w:rFonts w:ascii="Times New Roman"/>
          <w:szCs w:val="21"/>
        </w:rPr>
        <w:t>当预拌砂浆用于有抗冻性要求的墙体时，应进行冻融试验，其抗冻性能应符合本规程第</w:t>
      </w:r>
      <w:r>
        <w:rPr>
          <w:rFonts w:hint="eastAsia" w:ascii="Times New Roman"/>
          <w:szCs w:val="21"/>
        </w:rPr>
        <w:t>4.2节</w:t>
      </w:r>
      <w:r>
        <w:rPr>
          <w:rFonts w:ascii="Times New Roman"/>
          <w:szCs w:val="21"/>
        </w:rPr>
        <w:t>的相关要求，且抗冻性能应</w:t>
      </w:r>
      <w:r>
        <w:rPr>
          <w:rFonts w:hint="eastAsia" w:ascii="Times New Roman"/>
          <w:szCs w:val="21"/>
        </w:rPr>
        <w:t>不低于</w:t>
      </w:r>
      <w:r>
        <w:rPr>
          <w:rFonts w:ascii="Times New Roman"/>
          <w:szCs w:val="21"/>
        </w:rPr>
        <w:t>墙体块材。</w:t>
      </w:r>
    </w:p>
    <w:p>
      <w:pPr>
        <w:pStyle w:val="166"/>
        <w:rPr>
          <w:rFonts w:ascii="Times New Roman"/>
          <w:szCs w:val="21"/>
        </w:rPr>
      </w:pPr>
      <w:r>
        <w:rPr>
          <w:rFonts w:ascii="Times New Roman"/>
          <w:szCs w:val="21"/>
        </w:rPr>
        <w:t>预拌砂浆</w:t>
      </w:r>
      <w:r>
        <w:rPr>
          <w:rFonts w:hint="eastAsia" w:ascii="Times New Roman"/>
          <w:szCs w:val="21"/>
        </w:rPr>
        <w:t>交货检验项目由需方确定，并经双方确认</w:t>
      </w:r>
      <w:r>
        <w:rPr>
          <w:rFonts w:ascii="Times New Roman"/>
          <w:szCs w:val="21"/>
        </w:rPr>
        <w:t>，</w:t>
      </w:r>
      <w:r>
        <w:rPr>
          <w:rFonts w:hint="eastAsia" w:ascii="Times New Roman"/>
          <w:szCs w:val="21"/>
        </w:rPr>
        <w:t>且交货检验应符合下列规定：</w:t>
      </w:r>
    </w:p>
    <w:p>
      <w:pPr>
        <w:pStyle w:val="166"/>
        <w:numPr>
          <w:ilvl w:val="0"/>
          <w:numId w:val="44"/>
        </w:numPr>
        <w:rPr>
          <w:rFonts w:ascii="Times New Roman"/>
          <w:szCs w:val="21"/>
        </w:rPr>
      </w:pPr>
      <w:r>
        <w:rPr>
          <w:rFonts w:hint="eastAsia" w:ascii="Times New Roman"/>
          <w:szCs w:val="21"/>
        </w:rPr>
        <w:t>干混砂浆交货时的质量验收可抽取实物试样，以其检验结果为依据，亦可以同批号干混砂浆的型式检验报告为依据。采取的验收方法由供需双方商定并在合同中注明；</w:t>
      </w:r>
    </w:p>
    <w:p>
      <w:pPr>
        <w:pStyle w:val="166"/>
        <w:numPr>
          <w:ilvl w:val="0"/>
          <w:numId w:val="44"/>
        </w:numPr>
        <w:rPr>
          <w:rFonts w:ascii="Times New Roman"/>
          <w:szCs w:val="21"/>
        </w:rPr>
      </w:pPr>
      <w:r>
        <w:rPr>
          <w:rFonts w:hint="eastAsia" w:ascii="Times New Roman"/>
          <w:szCs w:val="21"/>
        </w:rPr>
        <w:t>湿拌砂浆应在合同规定的交货地点进行质量检验。湿拌砂浆交货检验的取样试验工作应由需方承担。当需方不具备试验条件时，供需双方可协商确定承担单位，并在合同中予以明确；</w:t>
      </w:r>
    </w:p>
    <w:p>
      <w:pPr>
        <w:pStyle w:val="166"/>
        <w:numPr>
          <w:ilvl w:val="0"/>
          <w:numId w:val="44"/>
        </w:numPr>
        <w:rPr>
          <w:rFonts w:ascii="Times New Roman"/>
          <w:szCs w:val="21"/>
        </w:rPr>
      </w:pPr>
      <w:r>
        <w:rPr>
          <w:rFonts w:hint="eastAsia" w:ascii="Times New Roman"/>
          <w:szCs w:val="21"/>
        </w:rPr>
        <w:t>交货检验的结果应在试验结束后7d内通知供方；</w:t>
      </w:r>
    </w:p>
    <w:p>
      <w:pPr>
        <w:pStyle w:val="166"/>
        <w:numPr>
          <w:ilvl w:val="0"/>
          <w:numId w:val="44"/>
        </w:numPr>
        <w:rPr>
          <w:rFonts w:ascii="Times New Roman"/>
          <w:szCs w:val="21"/>
        </w:rPr>
      </w:pPr>
      <w:r>
        <w:rPr>
          <w:rFonts w:hint="eastAsia" w:ascii="Times New Roman"/>
          <w:szCs w:val="21"/>
        </w:rPr>
        <w:t>当判定预拌砂浆质量是否符合要求时，交货检验项目以交货检验结果为依据，其他检验项目按合同规定执行。</w:t>
      </w:r>
    </w:p>
    <w:p>
      <w:pPr>
        <w:pStyle w:val="166"/>
        <w:rPr>
          <w:rFonts w:ascii="Times New Roman"/>
          <w:szCs w:val="21"/>
        </w:rPr>
      </w:pPr>
      <w:r>
        <w:rPr>
          <w:rFonts w:ascii="Times New Roman"/>
          <w:szCs w:val="21"/>
        </w:rPr>
        <w:t>预拌砂浆施工前，施工单位应编制专项施工方案，并按施工方案进行技术交底。</w:t>
      </w:r>
    </w:p>
    <w:p>
      <w:pPr>
        <w:pStyle w:val="166"/>
        <w:rPr>
          <w:rFonts w:ascii="Times New Roman"/>
          <w:szCs w:val="21"/>
        </w:rPr>
      </w:pPr>
      <w:r>
        <w:rPr>
          <w:rFonts w:ascii="Times New Roman"/>
          <w:szCs w:val="21"/>
        </w:rPr>
        <w:t>预拌砂浆施工的大气温度宜为5℃</w:t>
      </w:r>
      <w:bookmarkStart w:id="52" w:name="_Hlk132962785"/>
      <w:r>
        <w:rPr>
          <w:rFonts w:ascii="Times New Roman"/>
          <w:szCs w:val="21"/>
        </w:rPr>
        <w:t>～</w:t>
      </w:r>
      <w:bookmarkEnd w:id="52"/>
      <w:r>
        <w:rPr>
          <w:rFonts w:ascii="Times New Roman"/>
          <w:szCs w:val="21"/>
        </w:rPr>
        <w:t>35℃。五级风及以上、雨天和雪天的露天环境条件下，不宜进行预拌砂浆施工。</w:t>
      </w:r>
    </w:p>
    <w:p>
      <w:pPr>
        <w:pStyle w:val="166"/>
        <w:rPr>
          <w:rFonts w:ascii="Times New Roman"/>
          <w:szCs w:val="21"/>
        </w:rPr>
      </w:pPr>
      <w:r>
        <w:rPr>
          <w:rFonts w:ascii="Times New Roman"/>
          <w:szCs w:val="21"/>
        </w:rPr>
        <w:t>当大气温度低于5℃时，</w:t>
      </w:r>
      <w:r>
        <w:rPr>
          <w:rFonts w:hint="eastAsia" w:ascii="Times New Roman"/>
          <w:szCs w:val="21"/>
        </w:rPr>
        <w:t>预拌砂浆施工</w:t>
      </w:r>
      <w:r>
        <w:rPr>
          <w:rFonts w:ascii="Times New Roman"/>
          <w:szCs w:val="21"/>
        </w:rPr>
        <w:t xml:space="preserve">应符合下列规定： </w:t>
      </w:r>
    </w:p>
    <w:p>
      <w:pPr>
        <w:pStyle w:val="166"/>
        <w:numPr>
          <w:ilvl w:val="0"/>
          <w:numId w:val="45"/>
        </w:numPr>
        <w:rPr>
          <w:rFonts w:ascii="Times New Roman"/>
          <w:szCs w:val="21"/>
        </w:rPr>
      </w:pPr>
      <w:r>
        <w:rPr>
          <w:rFonts w:ascii="Times New Roman"/>
          <w:szCs w:val="21"/>
        </w:rPr>
        <w:t>应对砂浆拌合物采取保温措施</w:t>
      </w:r>
      <w:r>
        <w:rPr>
          <w:rFonts w:hint="eastAsia" w:ascii="Times New Roman"/>
          <w:szCs w:val="21"/>
        </w:rPr>
        <w:t>；</w:t>
      </w:r>
      <w:r>
        <w:rPr>
          <w:rFonts w:ascii="Times New Roman"/>
          <w:szCs w:val="21"/>
        </w:rPr>
        <w:t xml:space="preserve"> </w:t>
      </w:r>
    </w:p>
    <w:p>
      <w:pPr>
        <w:pStyle w:val="166"/>
        <w:numPr>
          <w:ilvl w:val="0"/>
          <w:numId w:val="45"/>
        </w:numPr>
        <w:rPr>
          <w:rFonts w:ascii="Times New Roman"/>
          <w:szCs w:val="21"/>
        </w:rPr>
      </w:pPr>
      <w:r>
        <w:rPr>
          <w:rFonts w:ascii="Times New Roman"/>
          <w:szCs w:val="21"/>
        </w:rPr>
        <w:t>砂浆拌合物的温度及工作面气温不应低于5℃</w:t>
      </w:r>
      <w:r>
        <w:rPr>
          <w:rFonts w:hint="eastAsia" w:ascii="Times New Roman"/>
          <w:szCs w:val="21"/>
        </w:rPr>
        <w:t>；</w:t>
      </w:r>
      <w:r>
        <w:rPr>
          <w:rFonts w:ascii="Times New Roman"/>
          <w:szCs w:val="21"/>
        </w:rPr>
        <w:t xml:space="preserve"> </w:t>
      </w:r>
    </w:p>
    <w:p>
      <w:pPr>
        <w:pStyle w:val="166"/>
        <w:numPr>
          <w:ilvl w:val="0"/>
          <w:numId w:val="45"/>
        </w:numPr>
        <w:rPr>
          <w:rFonts w:ascii="Times New Roman"/>
          <w:szCs w:val="21"/>
        </w:rPr>
      </w:pPr>
      <w:r>
        <w:rPr>
          <w:rFonts w:ascii="Times New Roman"/>
          <w:szCs w:val="21"/>
        </w:rPr>
        <w:t>当对拌合用水加温时，拌合用水温度不得超过65℃</w:t>
      </w:r>
      <w:r>
        <w:rPr>
          <w:rFonts w:hint="eastAsia" w:ascii="Times New Roman"/>
          <w:szCs w:val="21"/>
        </w:rPr>
        <w:t>；</w:t>
      </w:r>
      <w:r>
        <w:rPr>
          <w:rFonts w:ascii="Times New Roman"/>
          <w:szCs w:val="21"/>
        </w:rPr>
        <w:t xml:space="preserve"> </w:t>
      </w:r>
    </w:p>
    <w:p>
      <w:pPr>
        <w:pStyle w:val="166"/>
        <w:numPr>
          <w:ilvl w:val="0"/>
          <w:numId w:val="45"/>
        </w:numPr>
        <w:rPr>
          <w:rFonts w:ascii="Times New Roman"/>
          <w:szCs w:val="21"/>
        </w:rPr>
      </w:pPr>
      <w:r>
        <w:rPr>
          <w:rFonts w:ascii="Times New Roman"/>
          <w:szCs w:val="21"/>
        </w:rPr>
        <w:t>应对已施工的抹灰面层采取防冻措施</w:t>
      </w:r>
      <w:r>
        <w:rPr>
          <w:rFonts w:hint="eastAsia" w:ascii="Times New Roman"/>
          <w:szCs w:val="21"/>
        </w:rPr>
        <w:t>；</w:t>
      </w:r>
      <w:r>
        <w:rPr>
          <w:rFonts w:ascii="Times New Roman"/>
          <w:szCs w:val="21"/>
        </w:rPr>
        <w:t xml:space="preserve"> </w:t>
      </w:r>
    </w:p>
    <w:p>
      <w:pPr>
        <w:pStyle w:val="166"/>
        <w:numPr>
          <w:ilvl w:val="0"/>
          <w:numId w:val="45"/>
        </w:numPr>
        <w:rPr>
          <w:rFonts w:ascii="Times New Roman"/>
          <w:szCs w:val="21"/>
        </w:rPr>
      </w:pPr>
      <w:r>
        <w:rPr>
          <w:rFonts w:ascii="Times New Roman"/>
          <w:szCs w:val="21"/>
        </w:rPr>
        <w:t>湿拌砂浆可掺入防冻剂，其掺量应经试配确定。</w:t>
      </w:r>
    </w:p>
    <w:p>
      <w:pPr>
        <w:pStyle w:val="166"/>
        <w:rPr>
          <w:rFonts w:ascii="Times New Roman"/>
          <w:szCs w:val="21"/>
        </w:rPr>
      </w:pPr>
      <w:r>
        <w:rPr>
          <w:rFonts w:ascii="Times New Roman"/>
          <w:szCs w:val="21"/>
        </w:rPr>
        <w:t>当大气温度</w:t>
      </w:r>
      <w:r>
        <w:rPr>
          <w:rFonts w:hint="eastAsia" w:ascii="Times New Roman"/>
          <w:szCs w:val="21"/>
        </w:rPr>
        <w:t>高</w:t>
      </w:r>
      <w:r>
        <w:rPr>
          <w:rFonts w:ascii="Times New Roman"/>
          <w:szCs w:val="21"/>
        </w:rPr>
        <w:t>于</w:t>
      </w:r>
      <w:r>
        <w:rPr>
          <w:rFonts w:hint="eastAsia" w:ascii="Times New Roman"/>
          <w:szCs w:val="21"/>
        </w:rPr>
        <w:t>30</w:t>
      </w:r>
      <w:r>
        <w:rPr>
          <w:rFonts w:ascii="Times New Roman"/>
          <w:szCs w:val="21"/>
        </w:rPr>
        <w:t>℃，</w:t>
      </w:r>
      <w:r>
        <w:rPr>
          <w:rFonts w:hint="eastAsia" w:ascii="Times New Roman"/>
          <w:szCs w:val="21"/>
        </w:rPr>
        <w:t>预拌砂浆的存储与施工</w:t>
      </w:r>
      <w:r>
        <w:rPr>
          <w:rFonts w:ascii="Times New Roman"/>
          <w:szCs w:val="21"/>
        </w:rPr>
        <w:t xml:space="preserve">应符合下列规定： </w:t>
      </w:r>
    </w:p>
    <w:p>
      <w:pPr>
        <w:pStyle w:val="166"/>
        <w:numPr>
          <w:ilvl w:val="0"/>
          <w:numId w:val="46"/>
        </w:numPr>
        <w:rPr>
          <w:rFonts w:ascii="Times New Roman"/>
          <w:szCs w:val="21"/>
        </w:rPr>
      </w:pPr>
      <w:r>
        <w:rPr>
          <w:rFonts w:ascii="Times New Roman"/>
          <w:szCs w:val="21"/>
        </w:rPr>
        <w:t>应</w:t>
      </w:r>
      <w:r>
        <w:rPr>
          <w:rFonts w:hint="eastAsia" w:ascii="Times New Roman"/>
          <w:szCs w:val="21"/>
        </w:rPr>
        <w:t>采取防止水分损失的措施；</w:t>
      </w:r>
    </w:p>
    <w:p>
      <w:pPr>
        <w:pStyle w:val="166"/>
        <w:numPr>
          <w:ilvl w:val="0"/>
          <w:numId w:val="46"/>
        </w:numPr>
        <w:rPr>
          <w:rFonts w:ascii="Times New Roman"/>
          <w:szCs w:val="21"/>
        </w:rPr>
      </w:pPr>
      <w:r>
        <w:rPr>
          <w:rFonts w:hint="eastAsia" w:ascii="Times New Roman"/>
          <w:szCs w:val="21"/>
        </w:rPr>
        <w:t>搅拌的干混砂浆应在2h内用完；</w:t>
      </w:r>
    </w:p>
    <w:p>
      <w:pPr>
        <w:pStyle w:val="166"/>
        <w:numPr>
          <w:ilvl w:val="0"/>
          <w:numId w:val="46"/>
        </w:numPr>
        <w:rPr>
          <w:rFonts w:ascii="Times New Roman"/>
          <w:szCs w:val="21"/>
        </w:rPr>
      </w:pPr>
      <w:r>
        <w:rPr>
          <w:rFonts w:hint="eastAsia" w:ascii="Times New Roman"/>
          <w:szCs w:val="21"/>
        </w:rPr>
        <w:t>对现场存储的湿拌砂浆，应采取措施避免或减少对保塑时间的影响。</w:t>
      </w:r>
    </w:p>
    <w:p>
      <w:pPr>
        <w:pStyle w:val="106"/>
        <w:spacing w:before="156" w:after="156"/>
      </w:pPr>
      <w:r>
        <w:rPr>
          <w:rFonts w:hint="eastAsia"/>
        </w:rPr>
        <w:t>施工准备</w:t>
      </w:r>
    </w:p>
    <w:p>
      <w:pPr>
        <w:pStyle w:val="166"/>
        <w:rPr>
          <w:rFonts w:ascii="Times New Roman"/>
          <w:szCs w:val="21"/>
        </w:rPr>
      </w:pPr>
      <w:r>
        <w:rPr>
          <w:rFonts w:ascii="Times New Roman"/>
          <w:szCs w:val="21"/>
        </w:rPr>
        <w:t>不同品种、强度等级的</w:t>
      </w:r>
      <w:r>
        <w:rPr>
          <w:rFonts w:hint="eastAsia" w:ascii="Times New Roman"/>
          <w:szCs w:val="21"/>
        </w:rPr>
        <w:t>散装干混</w:t>
      </w:r>
      <w:r>
        <w:rPr>
          <w:rFonts w:ascii="Times New Roman"/>
          <w:szCs w:val="21"/>
        </w:rPr>
        <w:t>砂浆</w:t>
      </w:r>
      <w:r>
        <w:rPr>
          <w:rFonts w:hint="eastAsia" w:ascii="Times New Roman"/>
          <w:szCs w:val="21"/>
        </w:rPr>
        <w:t>和湿拌砂浆在施工场地</w:t>
      </w:r>
      <w:r>
        <w:rPr>
          <w:rFonts w:ascii="Times New Roman"/>
          <w:szCs w:val="21"/>
        </w:rPr>
        <w:t>应分别存放在不同的储存容器中，并应对储存容器进行标识，标识内容应包括砂浆的品种、强度等级和使用时限等</w:t>
      </w:r>
      <w:r>
        <w:rPr>
          <w:rFonts w:hint="eastAsia" w:ascii="Times New Roman"/>
          <w:szCs w:val="21"/>
        </w:rPr>
        <w:t>，不得混存混用。</w:t>
      </w:r>
    </w:p>
    <w:p>
      <w:pPr>
        <w:pStyle w:val="166"/>
        <w:rPr>
          <w:rFonts w:ascii="Times New Roman"/>
          <w:szCs w:val="21"/>
        </w:rPr>
      </w:pPr>
      <w:r>
        <w:rPr>
          <w:rFonts w:ascii="Times New Roman"/>
          <w:szCs w:val="21"/>
        </w:rPr>
        <w:t>散装干混砂浆在储存及使用过程中，当对砂浆质量的均匀性有疑问或争议时，应按JGJ/T 223</w:t>
      </w:r>
      <w:r>
        <w:rPr>
          <w:rFonts w:hint="eastAsia" w:ascii="Times New Roman"/>
          <w:szCs w:val="21"/>
        </w:rPr>
        <w:t>-2010中</w:t>
      </w:r>
      <w:r>
        <w:rPr>
          <w:rFonts w:ascii="Times New Roman"/>
          <w:szCs w:val="21"/>
        </w:rPr>
        <w:t>附录B的规定检验其均匀性。</w:t>
      </w:r>
    </w:p>
    <w:p>
      <w:pPr>
        <w:pStyle w:val="166"/>
        <w:rPr>
          <w:rFonts w:ascii="Times New Roman"/>
          <w:szCs w:val="21"/>
        </w:rPr>
      </w:pPr>
      <w:r>
        <w:rPr>
          <w:rFonts w:ascii="Times New Roman"/>
          <w:szCs w:val="21"/>
        </w:rPr>
        <w:t>袋装干混砂浆应储存在干燥、通风、防潮、不受雨淋的场所，并应按品种、批号分别堆放在架空板上，堆放高度不得超过12</w:t>
      </w:r>
      <w:r>
        <w:rPr>
          <w:rFonts w:hint="eastAsia" w:ascii="Times New Roman"/>
          <w:szCs w:val="21"/>
        </w:rPr>
        <w:t>包。</w:t>
      </w:r>
      <w:r>
        <w:rPr>
          <w:rFonts w:ascii="Times New Roman"/>
          <w:szCs w:val="21"/>
        </w:rPr>
        <w:t>拆包工序宜设置专门的防止扬尘的措施。</w:t>
      </w:r>
    </w:p>
    <w:p>
      <w:pPr>
        <w:pStyle w:val="166"/>
        <w:rPr>
          <w:rFonts w:ascii="Times New Roman"/>
          <w:szCs w:val="21"/>
        </w:rPr>
      </w:pPr>
      <w:r>
        <w:rPr>
          <w:rFonts w:ascii="Times New Roman"/>
          <w:szCs w:val="21"/>
        </w:rPr>
        <w:t>干混砂浆应按产品说明书的规定加水和配套组分，不得添加其他成分。</w:t>
      </w:r>
    </w:p>
    <w:p>
      <w:pPr>
        <w:pStyle w:val="166"/>
        <w:rPr>
          <w:rFonts w:ascii="Times New Roman"/>
          <w:szCs w:val="21"/>
        </w:rPr>
      </w:pPr>
      <w:r>
        <w:rPr>
          <w:rFonts w:ascii="Times New Roman"/>
          <w:szCs w:val="21"/>
        </w:rPr>
        <w:t>干混砂浆在现场应</w:t>
      </w:r>
      <w:r>
        <w:rPr>
          <w:rFonts w:hint="eastAsia" w:ascii="Times New Roman"/>
          <w:szCs w:val="21"/>
        </w:rPr>
        <w:t>采用</w:t>
      </w:r>
      <w:r>
        <w:rPr>
          <w:rFonts w:ascii="Times New Roman"/>
          <w:szCs w:val="21"/>
        </w:rPr>
        <w:t>机械搅拌</w:t>
      </w:r>
      <w:r>
        <w:rPr>
          <w:rFonts w:hint="eastAsia" w:ascii="Times New Roman"/>
          <w:szCs w:val="21"/>
        </w:rPr>
        <w:t>，确保</w:t>
      </w:r>
      <w:r>
        <w:rPr>
          <w:rFonts w:ascii="Times New Roman"/>
          <w:szCs w:val="21"/>
        </w:rPr>
        <w:t>搅拌均匀</w:t>
      </w:r>
      <w:r>
        <w:rPr>
          <w:rFonts w:hint="eastAsia" w:ascii="Times New Roman"/>
          <w:szCs w:val="21"/>
        </w:rPr>
        <w:t>，并做到</w:t>
      </w:r>
      <w:r>
        <w:rPr>
          <w:rFonts w:ascii="Times New Roman"/>
          <w:szCs w:val="21"/>
        </w:rPr>
        <w:t>随拌随用</w:t>
      </w:r>
      <w:r>
        <w:rPr>
          <w:rFonts w:hint="eastAsia" w:ascii="Times New Roman"/>
          <w:szCs w:val="21"/>
        </w:rPr>
        <w:t>。</w:t>
      </w:r>
    </w:p>
    <w:p>
      <w:pPr>
        <w:pStyle w:val="166"/>
        <w:rPr>
          <w:rFonts w:ascii="Times New Roman"/>
          <w:szCs w:val="21"/>
        </w:rPr>
      </w:pPr>
      <w:r>
        <w:rPr>
          <w:rFonts w:hint="eastAsia" w:ascii="Times New Roman"/>
          <w:szCs w:val="21"/>
        </w:rPr>
        <w:t>湿拌砂浆应存储在不吸水的专用容器内，并应根据不同季节采取遮阳、保温和防雨雪措施。在存放和使用过程中不应加水。</w:t>
      </w:r>
    </w:p>
    <w:p>
      <w:pPr>
        <w:pStyle w:val="166"/>
        <w:rPr>
          <w:rFonts w:ascii="Times New Roman"/>
          <w:szCs w:val="21"/>
        </w:rPr>
      </w:pPr>
      <w:r>
        <w:rPr>
          <w:rFonts w:ascii="Times New Roman"/>
          <w:szCs w:val="21"/>
        </w:rPr>
        <w:t>砂浆拌合物应在砂浆</w:t>
      </w:r>
      <w:r>
        <w:rPr>
          <w:rFonts w:hint="eastAsia" w:ascii="Times New Roman"/>
          <w:szCs w:val="21"/>
        </w:rPr>
        <w:t>保塑时间</w:t>
      </w:r>
      <w:r>
        <w:rPr>
          <w:rFonts w:ascii="Times New Roman"/>
          <w:szCs w:val="21"/>
        </w:rPr>
        <w:t>内用完，且</w:t>
      </w:r>
      <w:r>
        <w:rPr>
          <w:rFonts w:hint="eastAsia" w:ascii="Times New Roman"/>
          <w:szCs w:val="21"/>
        </w:rPr>
        <w:t>应</w:t>
      </w:r>
      <w:r>
        <w:rPr>
          <w:rFonts w:ascii="Times New Roman"/>
          <w:szCs w:val="21"/>
        </w:rPr>
        <w:t>满足工程的施工要求。</w:t>
      </w:r>
      <w:r>
        <w:rPr>
          <w:rFonts w:hint="eastAsia" w:ascii="Times New Roman"/>
          <w:szCs w:val="21"/>
        </w:rPr>
        <w:t>现场拌制的砂浆应在3</w:t>
      </w:r>
      <w:r>
        <w:rPr>
          <w:rFonts w:ascii="Times New Roman"/>
          <w:szCs w:val="21"/>
        </w:rPr>
        <w:t>h内用完</w:t>
      </w:r>
      <w:r>
        <w:rPr>
          <w:rFonts w:hint="eastAsia" w:ascii="Times New Roman"/>
          <w:szCs w:val="21"/>
        </w:rPr>
        <w:t>；</w:t>
      </w:r>
      <w:r>
        <w:rPr>
          <w:rFonts w:ascii="Times New Roman"/>
          <w:szCs w:val="21"/>
        </w:rPr>
        <w:t>当气温超过30℃时，应在2h内</w:t>
      </w:r>
      <w:r>
        <w:rPr>
          <w:rFonts w:hint="eastAsia" w:ascii="Times New Roman"/>
          <w:szCs w:val="21"/>
        </w:rPr>
        <w:t>使用完毕；</w:t>
      </w:r>
      <w:r>
        <w:rPr>
          <w:rFonts w:ascii="Times New Roman"/>
          <w:szCs w:val="21"/>
        </w:rPr>
        <w:t>对掺用缓凝剂的砂浆，其使用时间可根据具体情况</w:t>
      </w:r>
      <w:r>
        <w:rPr>
          <w:rFonts w:hint="eastAsia" w:ascii="Times New Roman"/>
          <w:szCs w:val="21"/>
        </w:rPr>
        <w:t>适当</w:t>
      </w:r>
      <w:r>
        <w:rPr>
          <w:rFonts w:ascii="Times New Roman"/>
          <w:szCs w:val="21"/>
        </w:rPr>
        <w:t>延长。</w:t>
      </w:r>
    </w:p>
    <w:p>
      <w:pPr>
        <w:pStyle w:val="166"/>
        <w:rPr>
          <w:rFonts w:ascii="Times New Roman"/>
          <w:szCs w:val="21"/>
        </w:rPr>
      </w:pPr>
      <w:bookmarkStart w:id="53" w:name="OLE_LINK2"/>
      <w:r>
        <w:rPr>
          <w:rFonts w:ascii="Times New Roman"/>
          <w:szCs w:val="21"/>
        </w:rPr>
        <w:t>施工过程中当发现砂浆拌合物有离析、分层或少量泌水的情况时，应查明原因，在不影响施工质量的前提下，可重新拌合均匀后使用</w:t>
      </w:r>
      <w:r>
        <w:rPr>
          <w:rFonts w:hint="eastAsia" w:ascii="Times New Roman"/>
          <w:szCs w:val="21"/>
        </w:rPr>
        <w:t>；</w:t>
      </w:r>
      <w:r>
        <w:rPr>
          <w:rFonts w:ascii="Times New Roman"/>
          <w:szCs w:val="21"/>
        </w:rPr>
        <w:t>若泌水严重，应重新取样，进行品质检验</w:t>
      </w:r>
      <w:r>
        <w:rPr>
          <w:rFonts w:hint="eastAsia" w:ascii="Times New Roman"/>
          <w:szCs w:val="21"/>
        </w:rPr>
        <w:t>。</w:t>
      </w:r>
    </w:p>
    <w:bookmarkEnd w:id="53"/>
    <w:p>
      <w:pPr>
        <w:pStyle w:val="106"/>
        <w:spacing w:before="156" w:after="156"/>
      </w:pPr>
      <w:r>
        <w:rPr>
          <w:rFonts w:hint="eastAsia"/>
        </w:rPr>
        <w:t>砌筑砂浆施工</w:t>
      </w:r>
    </w:p>
    <w:p>
      <w:pPr>
        <w:pStyle w:val="166"/>
        <w:rPr>
          <w:rFonts w:ascii="Times New Roman"/>
        </w:rPr>
      </w:pPr>
      <w:r>
        <w:rPr>
          <w:rFonts w:hint="eastAsia" w:ascii="Times New Roman"/>
        </w:rPr>
        <w:t>普通</w:t>
      </w:r>
      <w:r>
        <w:rPr>
          <w:rFonts w:ascii="Times New Roman"/>
        </w:rPr>
        <w:t>砌筑砂浆</w:t>
      </w:r>
      <w:r>
        <w:rPr>
          <w:rFonts w:hint="eastAsia" w:ascii="Times New Roman"/>
        </w:rPr>
        <w:t>的稠度宜根据要求确定，也可按</w:t>
      </w:r>
      <w:r>
        <w:rPr>
          <w:rFonts w:ascii="Times New Roman"/>
        </w:rPr>
        <w:t>表</w:t>
      </w:r>
      <w:r>
        <w:rPr>
          <w:rFonts w:hint="eastAsia" w:ascii="Times New Roman"/>
        </w:rPr>
        <w:t>16选用。薄层砌筑砂浆的施工稠度宜为6</w:t>
      </w:r>
      <w:r>
        <w:rPr>
          <w:rFonts w:ascii="Times New Roman"/>
        </w:rPr>
        <w:t>0</w:t>
      </w:r>
      <w:r>
        <w:rPr>
          <w:rFonts w:hint="eastAsia" w:ascii="Times New Roman"/>
        </w:rPr>
        <w:t>mm</w:t>
      </w:r>
      <w:r>
        <w:rPr>
          <w:rFonts w:ascii="Times New Roman"/>
        </w:rPr>
        <w:t>~70</w:t>
      </w:r>
      <w:r>
        <w:rPr>
          <w:rFonts w:hint="eastAsia" w:ascii="Times New Roman"/>
        </w:rPr>
        <w:t>mm</w:t>
      </w:r>
      <w:r>
        <w:rPr>
          <w:rFonts w:ascii="Times New Roman"/>
        </w:rPr>
        <w:t>。</w:t>
      </w:r>
    </w:p>
    <w:p>
      <w:pPr>
        <w:pStyle w:val="166"/>
        <w:numPr>
          <w:ilvl w:val="0"/>
          <w:numId w:val="0"/>
        </w:numPr>
        <w:spacing w:before="156" w:beforeLines="50" w:after="156" w:afterLines="50"/>
        <w:jc w:val="center"/>
        <w:rPr>
          <w:rFonts w:ascii="Times New Roman" w:eastAsia="黑体"/>
          <w:szCs w:val="21"/>
        </w:rPr>
      </w:pPr>
      <w:r>
        <w:rPr>
          <w:rFonts w:ascii="Times New Roman" w:eastAsia="黑体"/>
          <w:szCs w:val="21"/>
        </w:rPr>
        <w:t>表</w:t>
      </w:r>
      <w:r>
        <w:rPr>
          <w:rFonts w:hint="eastAsia" w:ascii="Times New Roman" w:eastAsia="黑体"/>
          <w:szCs w:val="21"/>
        </w:rPr>
        <w:t>16</w:t>
      </w:r>
      <w:r>
        <w:rPr>
          <w:rFonts w:ascii="Times New Roman" w:eastAsia="黑体"/>
          <w:szCs w:val="21"/>
        </w:rPr>
        <w:t xml:space="preserve"> </w:t>
      </w:r>
      <w:r>
        <w:rPr>
          <w:rFonts w:hint="eastAsia" w:ascii="Times New Roman" w:eastAsia="黑体"/>
          <w:szCs w:val="21"/>
        </w:rPr>
        <w:t>普通</w:t>
      </w:r>
      <w:r>
        <w:rPr>
          <w:rFonts w:ascii="Times New Roman" w:eastAsia="黑体"/>
          <w:szCs w:val="21"/>
        </w:rPr>
        <w:t>砌筑砂浆的稠度</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11"/>
        <w:gridCol w:w="45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618" w:type="pct"/>
            <w:tcBorders>
              <w:top w:val="single" w:color="auto" w:sz="12" w:space="0"/>
              <w:left w:val="single" w:color="auto" w:sz="12" w:space="0"/>
              <w:bottom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砌体种类</w:t>
            </w:r>
          </w:p>
        </w:tc>
        <w:tc>
          <w:tcPr>
            <w:tcW w:w="2382" w:type="pct"/>
            <w:tcBorders>
              <w:top w:val="single" w:color="auto" w:sz="12" w:space="0"/>
              <w:left w:val="single" w:color="auto" w:sz="4" w:space="0"/>
              <w:bottom w:val="single" w:color="auto" w:sz="12" w:space="0"/>
              <w:righ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稠度</w:t>
            </w:r>
            <w:r>
              <w:rPr>
                <w:rFonts w:hint="eastAsia" w:ascii="Times New Roman" w:hAnsi="Times New Roman"/>
                <w:sz w:val="18"/>
                <w:szCs w:val="18"/>
              </w:rPr>
              <w:t>/</w:t>
            </w:r>
            <w:r>
              <w:rPr>
                <w:rFonts w:ascii="Times New Roman" w:hAnsi="Times New Roman"/>
                <w:sz w:val="18"/>
                <w:szCs w:val="18"/>
              </w:rPr>
              <w:t>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618" w:type="pct"/>
            <w:tcBorders>
              <w:top w:val="single" w:color="auto" w:sz="12" w:space="0"/>
              <w:lef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烧结普通砖砌体</w:t>
            </w:r>
          </w:p>
        </w:tc>
        <w:tc>
          <w:tcPr>
            <w:tcW w:w="2382" w:type="pct"/>
            <w:tcBorders>
              <w:top w:val="single" w:color="auto" w:sz="12" w:space="0"/>
              <w:left w:val="single" w:color="auto" w:sz="4" w:space="0"/>
              <w:righ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70～90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618" w:type="pct"/>
            <w:tcBorders>
              <w:lef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烧结多孔砖、空心砖砌体</w:t>
            </w:r>
          </w:p>
          <w:p>
            <w:pPr>
              <w:spacing w:line="240" w:lineRule="auto"/>
              <w:jc w:val="center"/>
              <w:rPr>
                <w:rFonts w:ascii="Times New Roman" w:hAnsi="Times New Roman"/>
                <w:sz w:val="18"/>
                <w:szCs w:val="18"/>
              </w:rPr>
            </w:pPr>
            <w:r>
              <w:rPr>
                <w:rFonts w:ascii="Times New Roman" w:hAnsi="Times New Roman"/>
                <w:sz w:val="18"/>
                <w:szCs w:val="18"/>
              </w:rPr>
              <w:t>轻集料混凝土小型空心砌块砌体</w:t>
            </w:r>
          </w:p>
          <w:p>
            <w:pPr>
              <w:spacing w:line="240" w:lineRule="auto"/>
              <w:jc w:val="center"/>
              <w:rPr>
                <w:rFonts w:ascii="Times New Roman" w:hAnsi="Times New Roman"/>
                <w:sz w:val="18"/>
                <w:szCs w:val="18"/>
              </w:rPr>
            </w:pPr>
            <w:r>
              <w:rPr>
                <w:rFonts w:ascii="Times New Roman" w:hAnsi="Times New Roman"/>
                <w:sz w:val="18"/>
                <w:szCs w:val="18"/>
              </w:rPr>
              <w:t>蒸压加气混凝土砌块砌体</w:t>
            </w:r>
          </w:p>
        </w:tc>
        <w:tc>
          <w:tcPr>
            <w:tcW w:w="2382" w:type="pct"/>
            <w:tcBorders>
              <w:left w:val="single" w:color="auto" w:sz="4" w:space="0"/>
              <w:righ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60～80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618" w:type="pct"/>
            <w:tcBorders>
              <w:left w:val="single" w:color="auto" w:sz="12" w:space="0"/>
              <w:bottom w:val="single" w:color="000000"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混凝土多孔砖、实心砖砌体</w:t>
            </w:r>
          </w:p>
          <w:p>
            <w:pPr>
              <w:spacing w:line="240" w:lineRule="auto"/>
              <w:jc w:val="center"/>
              <w:rPr>
                <w:rFonts w:ascii="Times New Roman" w:hAnsi="Times New Roman"/>
                <w:sz w:val="18"/>
                <w:szCs w:val="18"/>
              </w:rPr>
            </w:pPr>
            <w:r>
              <w:rPr>
                <w:rFonts w:ascii="Times New Roman" w:hAnsi="Times New Roman"/>
                <w:sz w:val="18"/>
                <w:szCs w:val="18"/>
              </w:rPr>
              <w:t>普通混凝土小型空心砌块砌体</w:t>
            </w:r>
          </w:p>
          <w:p>
            <w:pPr>
              <w:spacing w:line="240" w:lineRule="auto"/>
              <w:jc w:val="center"/>
              <w:rPr>
                <w:rFonts w:ascii="Times New Roman" w:hAnsi="Times New Roman"/>
                <w:sz w:val="18"/>
                <w:szCs w:val="18"/>
              </w:rPr>
            </w:pPr>
            <w:r>
              <w:rPr>
                <w:rFonts w:ascii="Times New Roman" w:hAnsi="Times New Roman"/>
                <w:sz w:val="18"/>
                <w:szCs w:val="18"/>
              </w:rPr>
              <w:t>蒸压灰砂砖砌体</w:t>
            </w:r>
          </w:p>
          <w:p>
            <w:pPr>
              <w:spacing w:line="240" w:lineRule="auto"/>
              <w:jc w:val="center"/>
              <w:rPr>
                <w:rFonts w:ascii="Times New Roman" w:hAnsi="Times New Roman"/>
                <w:sz w:val="18"/>
                <w:szCs w:val="18"/>
              </w:rPr>
            </w:pPr>
            <w:r>
              <w:rPr>
                <w:rFonts w:hint="eastAsia" w:ascii="Times New Roman" w:hAnsi="Times New Roman"/>
                <w:sz w:val="18"/>
                <w:szCs w:val="18"/>
              </w:rPr>
              <w:t>蒸压</w:t>
            </w:r>
            <w:r>
              <w:rPr>
                <w:rFonts w:ascii="Times New Roman" w:hAnsi="Times New Roman"/>
                <w:sz w:val="18"/>
                <w:szCs w:val="18"/>
              </w:rPr>
              <w:t>粉煤灰砖砌体</w:t>
            </w:r>
          </w:p>
        </w:tc>
        <w:tc>
          <w:tcPr>
            <w:tcW w:w="2382" w:type="pct"/>
            <w:tcBorders>
              <w:left w:val="single" w:color="auto" w:sz="4" w:space="0"/>
              <w:bottom w:val="single" w:color="000000" w:sz="4" w:space="0"/>
              <w:righ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50～70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618" w:type="pct"/>
            <w:tcBorders>
              <w:left w:val="single" w:color="auto" w:sz="12" w:space="0"/>
              <w:bottom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石砌体</w:t>
            </w:r>
          </w:p>
        </w:tc>
        <w:tc>
          <w:tcPr>
            <w:tcW w:w="2382" w:type="pct"/>
            <w:tcBorders>
              <w:left w:val="single" w:color="auto" w:sz="4" w:space="0"/>
              <w:bottom w:val="single" w:color="auto" w:sz="12" w:space="0"/>
              <w:righ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30～50</w:t>
            </w:r>
          </w:p>
        </w:tc>
      </w:tr>
    </w:tbl>
    <w:p>
      <w:pPr>
        <w:pStyle w:val="166"/>
        <w:spacing w:before="312" w:beforeLines="100"/>
        <w:rPr>
          <w:rFonts w:ascii="Times New Roman"/>
          <w:szCs w:val="21"/>
        </w:rPr>
      </w:pPr>
      <w:r>
        <w:rPr>
          <w:rFonts w:hint="eastAsia" w:ascii="Times New Roman"/>
          <w:szCs w:val="21"/>
        </w:rPr>
        <w:t>普通砌筑施工的砖砌体和混凝土小型空心砌块砌体的</w:t>
      </w:r>
      <w:r>
        <w:rPr>
          <w:rFonts w:ascii="Times New Roman"/>
          <w:szCs w:val="21"/>
        </w:rPr>
        <w:t>水平灰缝</w:t>
      </w:r>
      <w:r>
        <w:rPr>
          <w:rFonts w:hint="eastAsia" w:ascii="Times New Roman"/>
          <w:szCs w:val="21"/>
        </w:rPr>
        <w:t>厚度</w:t>
      </w:r>
      <w:r>
        <w:rPr>
          <w:rFonts w:ascii="Times New Roman"/>
          <w:szCs w:val="21"/>
        </w:rPr>
        <w:t>宜为10mm，允许误差为±2mm。采用薄层砂浆施工法时，水平灰缝厚度不应大于5mm。</w:t>
      </w:r>
    </w:p>
    <w:p>
      <w:pPr>
        <w:pStyle w:val="166"/>
        <w:rPr>
          <w:rFonts w:ascii="Times New Roman"/>
          <w:szCs w:val="21"/>
        </w:rPr>
      </w:pPr>
      <w:r>
        <w:rPr>
          <w:rFonts w:ascii="Times New Roman"/>
          <w:szCs w:val="21"/>
        </w:rPr>
        <w:t>毛石、毛料石、粗料石、细料石等石砌体灰缝厚度应均匀，灰缝厚度应符合下列规定：</w:t>
      </w:r>
    </w:p>
    <w:p>
      <w:pPr>
        <w:pStyle w:val="166"/>
        <w:numPr>
          <w:ilvl w:val="0"/>
          <w:numId w:val="47"/>
        </w:numPr>
        <w:rPr>
          <w:rFonts w:ascii="Times New Roman"/>
          <w:szCs w:val="21"/>
        </w:rPr>
      </w:pPr>
      <w:r>
        <w:rPr>
          <w:rFonts w:ascii="Times New Roman"/>
          <w:szCs w:val="21"/>
        </w:rPr>
        <w:t>毛石砌体外露面的灰缝厚度不宜大于40mm</w:t>
      </w:r>
      <w:r>
        <w:rPr>
          <w:rFonts w:hint="eastAsia" w:ascii="Times New Roman"/>
          <w:szCs w:val="21"/>
        </w:rPr>
        <w:t>；</w:t>
      </w:r>
    </w:p>
    <w:p>
      <w:pPr>
        <w:pStyle w:val="166"/>
        <w:numPr>
          <w:ilvl w:val="0"/>
          <w:numId w:val="47"/>
        </w:numPr>
        <w:rPr>
          <w:rFonts w:ascii="Times New Roman"/>
          <w:szCs w:val="21"/>
        </w:rPr>
      </w:pPr>
      <w:r>
        <w:rPr>
          <w:rFonts w:ascii="Times New Roman"/>
          <w:szCs w:val="21"/>
        </w:rPr>
        <w:t>毛料石和粗料石的灰缝厚度不宜大于20mm</w:t>
      </w:r>
      <w:r>
        <w:rPr>
          <w:rFonts w:hint="eastAsia" w:ascii="Times New Roman"/>
          <w:szCs w:val="21"/>
        </w:rPr>
        <w:t>；</w:t>
      </w:r>
    </w:p>
    <w:p>
      <w:pPr>
        <w:pStyle w:val="166"/>
        <w:numPr>
          <w:ilvl w:val="0"/>
          <w:numId w:val="47"/>
        </w:numPr>
        <w:rPr>
          <w:rFonts w:ascii="Times New Roman"/>
          <w:szCs w:val="21"/>
        </w:rPr>
      </w:pPr>
      <w:r>
        <w:rPr>
          <w:rFonts w:ascii="Times New Roman"/>
          <w:szCs w:val="21"/>
        </w:rPr>
        <w:t>细料石的灰缝厚度不宜大于5mm。</w:t>
      </w:r>
    </w:p>
    <w:p>
      <w:pPr>
        <w:pStyle w:val="166"/>
        <w:rPr>
          <w:rFonts w:ascii="Times New Roman"/>
          <w:szCs w:val="21"/>
        </w:rPr>
      </w:pPr>
      <w:r>
        <w:rPr>
          <w:rFonts w:ascii="Times New Roman"/>
          <w:szCs w:val="21"/>
        </w:rPr>
        <w:t>采用铺浆法砌筑砖砌体时，</w:t>
      </w:r>
      <w:r>
        <w:rPr>
          <w:rFonts w:hint="eastAsia" w:ascii="Times New Roman"/>
          <w:szCs w:val="21"/>
        </w:rPr>
        <w:t>宜随铺随砌，</w:t>
      </w:r>
      <w:r>
        <w:rPr>
          <w:rFonts w:ascii="Times New Roman"/>
          <w:szCs w:val="21"/>
        </w:rPr>
        <w:t>一次铺浆长度不得超过750mm；当施工期间环境温度超过30℃时，一次铺浆长度不得超过500mm。</w:t>
      </w:r>
    </w:p>
    <w:p>
      <w:pPr>
        <w:pStyle w:val="166"/>
        <w:rPr>
          <w:rFonts w:ascii="Times New Roman"/>
          <w:szCs w:val="21"/>
        </w:rPr>
      </w:pPr>
      <w:r>
        <w:rPr>
          <w:rFonts w:ascii="Times New Roman"/>
          <w:szCs w:val="21"/>
        </w:rPr>
        <w:t>对砖砌体、小砌块砌体，每日砌筑高度宜控制在1.5m或一步脚手架高度内；对石砌体，每日砌筑高度不宜超过1.2m。</w:t>
      </w:r>
    </w:p>
    <w:p>
      <w:pPr>
        <w:pStyle w:val="166"/>
        <w:rPr>
          <w:rFonts w:ascii="Times New Roman"/>
          <w:szCs w:val="21"/>
        </w:rPr>
      </w:pPr>
      <w:r>
        <w:rPr>
          <w:rFonts w:ascii="Times New Roman"/>
          <w:szCs w:val="21"/>
        </w:rPr>
        <w:t>竖向灰缝应采用加浆法或挤浆法使其饱满，不应先干砌后灌缝。</w:t>
      </w:r>
    </w:p>
    <w:p>
      <w:pPr>
        <w:pStyle w:val="166"/>
        <w:rPr>
          <w:rFonts w:ascii="Times New Roman"/>
          <w:szCs w:val="21"/>
        </w:rPr>
      </w:pPr>
      <w:r>
        <w:rPr>
          <w:rFonts w:ascii="Times New Roman"/>
          <w:szCs w:val="21"/>
        </w:rPr>
        <w:t>砌体的灰缝应横平竖直、厚薄均匀、密实饱满。砖砌体的水平灰缝砂浆饱满度不得小于80%；砖柱水平灰缝和竖向灰缝的砂浆饱满度不得低于90%；小砌块砌体水平灰缝和竖向灰缝的砂浆饱满度，按净面积计算不得低于90%；填充墙砌体灰缝的砂浆饱满度，按净面积计算不得低于80%；石砌体灰缝的砂浆饱满度不应小于80%。竖向灰缝不应出现瞎缝、透明缝和假缝。</w:t>
      </w:r>
    </w:p>
    <w:p>
      <w:pPr>
        <w:pStyle w:val="166"/>
        <w:rPr>
          <w:rFonts w:ascii="Times New Roman"/>
          <w:szCs w:val="21"/>
        </w:rPr>
      </w:pPr>
      <w:r>
        <w:rPr>
          <w:rFonts w:ascii="Times New Roman"/>
          <w:szCs w:val="21"/>
        </w:rPr>
        <w:t>砌筑砂浆可用原浆对墙面勾缝，但必须随砌随勾</w:t>
      </w:r>
      <w:r>
        <w:rPr>
          <w:rFonts w:hint="eastAsia" w:ascii="Times New Roman"/>
          <w:szCs w:val="21"/>
        </w:rPr>
        <w:t>，勾缝深度宜为1mm</w:t>
      </w:r>
      <w:r>
        <w:rPr>
          <w:rFonts w:ascii="Times New Roman"/>
          <w:szCs w:val="21"/>
        </w:rPr>
        <w:t>~3</w:t>
      </w:r>
      <w:r>
        <w:rPr>
          <w:rFonts w:hint="eastAsia" w:ascii="Times New Roman"/>
          <w:szCs w:val="21"/>
        </w:rPr>
        <w:t>mm</w:t>
      </w:r>
      <w:r>
        <w:rPr>
          <w:rFonts w:ascii="Times New Roman"/>
          <w:szCs w:val="21"/>
        </w:rPr>
        <w:t>。</w:t>
      </w:r>
    </w:p>
    <w:p>
      <w:pPr>
        <w:pStyle w:val="166"/>
        <w:rPr>
          <w:rFonts w:ascii="Times New Roman"/>
          <w:szCs w:val="21"/>
        </w:rPr>
      </w:pPr>
      <w:r>
        <w:rPr>
          <w:rFonts w:hint="eastAsia" w:ascii="Times New Roman"/>
          <w:szCs w:val="21"/>
        </w:rPr>
        <w:t>砌筑施工除应符合本规程外，尚应符合</w:t>
      </w:r>
      <w:r>
        <w:rPr>
          <w:rFonts w:ascii="Times New Roman"/>
          <w:szCs w:val="21"/>
        </w:rPr>
        <w:t>GB 50924</w:t>
      </w:r>
      <w:r>
        <w:rPr>
          <w:rFonts w:hint="eastAsia" w:ascii="Times New Roman"/>
          <w:szCs w:val="21"/>
        </w:rPr>
        <w:t>和JGJ/</w:t>
      </w:r>
      <w:r>
        <w:rPr>
          <w:rFonts w:ascii="Times New Roman"/>
          <w:szCs w:val="21"/>
        </w:rPr>
        <w:t>T 223的</w:t>
      </w:r>
      <w:r>
        <w:rPr>
          <w:rFonts w:hint="eastAsia" w:ascii="Times New Roman"/>
          <w:szCs w:val="21"/>
        </w:rPr>
        <w:t>相</w:t>
      </w:r>
      <w:r>
        <w:rPr>
          <w:rFonts w:ascii="Times New Roman"/>
          <w:szCs w:val="21"/>
        </w:rPr>
        <w:t>关规定。</w:t>
      </w:r>
    </w:p>
    <w:p>
      <w:pPr>
        <w:pStyle w:val="106"/>
        <w:spacing w:before="156" w:after="156"/>
      </w:pPr>
      <w:r>
        <w:rPr>
          <w:rFonts w:hint="eastAsia"/>
        </w:rPr>
        <w:t>抹灰砂浆施工</w:t>
      </w:r>
    </w:p>
    <w:p>
      <w:pPr>
        <w:pStyle w:val="166"/>
        <w:rPr>
          <w:rFonts w:ascii="Times New Roman"/>
          <w:szCs w:val="21"/>
        </w:rPr>
      </w:pPr>
      <w:r>
        <w:rPr>
          <w:rFonts w:ascii="Times New Roman"/>
          <w:szCs w:val="21"/>
        </w:rPr>
        <w:t>砂浆稠度应根据施工要求和产品说明书确定。普通抹灰砂浆的施工稠度宜按表</w:t>
      </w:r>
      <w:r>
        <w:rPr>
          <w:rFonts w:hint="eastAsia" w:ascii="Times New Roman"/>
          <w:szCs w:val="21"/>
        </w:rPr>
        <w:t>17</w:t>
      </w:r>
      <w:r>
        <w:rPr>
          <w:rFonts w:ascii="Times New Roman"/>
          <w:szCs w:val="21"/>
        </w:rPr>
        <w:t>选取</w:t>
      </w:r>
      <w:r>
        <w:rPr>
          <w:rFonts w:hint="eastAsia" w:ascii="Times New Roman"/>
          <w:szCs w:val="21"/>
        </w:rPr>
        <w:t>，</w:t>
      </w:r>
      <w:r>
        <w:rPr>
          <w:rFonts w:ascii="Times New Roman"/>
          <w:szCs w:val="21"/>
        </w:rPr>
        <w:t>薄层抹灰砂浆稠度宜为50</w:t>
      </w:r>
      <w:r>
        <w:rPr>
          <w:rFonts w:hint="eastAsia" w:ascii="Times New Roman"/>
          <w:szCs w:val="21"/>
        </w:rPr>
        <w:t>mm</w:t>
      </w:r>
      <w:r>
        <w:rPr>
          <w:rFonts w:ascii="Times New Roman"/>
          <w:szCs w:val="21"/>
        </w:rPr>
        <w:t>～60mm</w:t>
      </w:r>
      <w:r>
        <w:rPr>
          <w:rFonts w:hint="eastAsia" w:ascii="Times New Roman"/>
          <w:szCs w:val="21"/>
        </w:rPr>
        <w:t>。</w:t>
      </w:r>
    </w:p>
    <w:p>
      <w:pPr>
        <w:pStyle w:val="166"/>
        <w:numPr>
          <w:ilvl w:val="0"/>
          <w:numId w:val="0"/>
        </w:numPr>
        <w:spacing w:before="156" w:beforeLines="50" w:after="156" w:afterLines="50"/>
        <w:jc w:val="center"/>
        <w:rPr>
          <w:rFonts w:ascii="Times New Roman" w:eastAsia="黑体"/>
          <w:szCs w:val="21"/>
        </w:rPr>
      </w:pPr>
      <w:r>
        <w:rPr>
          <w:rFonts w:ascii="Times New Roman" w:eastAsia="黑体"/>
          <w:szCs w:val="21"/>
        </w:rPr>
        <w:t>表</w:t>
      </w:r>
      <w:r>
        <w:rPr>
          <w:rFonts w:hint="eastAsia" w:ascii="Times New Roman" w:eastAsia="黑体"/>
          <w:szCs w:val="21"/>
        </w:rPr>
        <w:t>17 普通</w:t>
      </w:r>
      <w:r>
        <w:rPr>
          <w:rFonts w:ascii="Times New Roman" w:eastAsia="黑体"/>
          <w:szCs w:val="21"/>
        </w:rPr>
        <w:t>抹灰砂浆</w:t>
      </w:r>
      <w:r>
        <w:rPr>
          <w:rFonts w:hint="eastAsia" w:ascii="Times New Roman" w:eastAsia="黑体"/>
          <w:szCs w:val="21"/>
        </w:rPr>
        <w:t>的</w:t>
      </w:r>
      <w:r>
        <w:rPr>
          <w:rFonts w:ascii="Times New Roman" w:eastAsia="黑体"/>
          <w:szCs w:val="21"/>
        </w:rPr>
        <w:t>稠度</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785"/>
        <w:gridCol w:w="47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500" w:type="pct"/>
            <w:tcBorders>
              <w:top w:val="single" w:color="auto" w:sz="12" w:space="0"/>
              <w:left w:val="single" w:color="auto" w:sz="12" w:space="0"/>
              <w:bottom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抹灰部位</w:t>
            </w:r>
          </w:p>
        </w:tc>
        <w:tc>
          <w:tcPr>
            <w:tcW w:w="2500" w:type="pct"/>
            <w:tcBorders>
              <w:top w:val="single" w:color="auto" w:sz="12" w:space="0"/>
              <w:bottom w:val="single" w:color="auto" w:sz="12" w:space="0"/>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砂浆稠度/</w:t>
            </w:r>
            <w:r>
              <w:rPr>
                <w:rFonts w:ascii="Times New Roman" w:hAnsi="Times New Roman"/>
                <w:sz w:val="18"/>
                <w:szCs w:val="18"/>
              </w:rPr>
              <w:t>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500" w:type="pct"/>
            <w:tcBorders>
              <w:top w:val="single" w:color="auto" w:sz="12" w:space="0"/>
              <w:lef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底层</w:t>
            </w:r>
          </w:p>
        </w:tc>
        <w:tc>
          <w:tcPr>
            <w:tcW w:w="2500" w:type="pct"/>
            <w:tcBorders>
              <w:top w:val="single" w:color="auto" w:sz="12" w:space="0"/>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9</w:t>
            </w:r>
            <w:r>
              <w:rPr>
                <w:rFonts w:ascii="Times New Roman" w:hAnsi="Times New Roman"/>
                <w:sz w:val="18"/>
                <w:szCs w:val="18"/>
              </w:rPr>
              <w:t>0~110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500" w:type="pct"/>
            <w:tcBorders>
              <w:left w:val="single" w:color="auto" w:sz="12" w:space="0"/>
              <w:bottom w:val="single" w:color="000000" w:sz="4"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中层</w:t>
            </w:r>
          </w:p>
        </w:tc>
        <w:tc>
          <w:tcPr>
            <w:tcW w:w="2500" w:type="pct"/>
            <w:tcBorders>
              <w:bottom w:val="single" w:color="000000" w:sz="4" w:space="0"/>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7</w:t>
            </w:r>
            <w:r>
              <w:rPr>
                <w:rFonts w:ascii="Times New Roman" w:hAnsi="Times New Roman"/>
                <w:sz w:val="18"/>
                <w:szCs w:val="18"/>
              </w:rPr>
              <w:t>0~90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500" w:type="pct"/>
            <w:tcBorders>
              <w:left w:val="single" w:color="auto" w:sz="12" w:space="0"/>
              <w:bottom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面层</w:t>
            </w:r>
          </w:p>
        </w:tc>
        <w:tc>
          <w:tcPr>
            <w:tcW w:w="2500" w:type="pct"/>
            <w:tcBorders>
              <w:bottom w:val="single" w:color="auto" w:sz="12" w:space="0"/>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7</w:t>
            </w:r>
            <w:r>
              <w:rPr>
                <w:rFonts w:ascii="Times New Roman" w:hAnsi="Times New Roman"/>
                <w:sz w:val="18"/>
                <w:szCs w:val="18"/>
              </w:rPr>
              <w:t>0~80</w:t>
            </w:r>
          </w:p>
        </w:tc>
      </w:tr>
    </w:tbl>
    <w:p>
      <w:pPr>
        <w:pStyle w:val="166"/>
        <w:spacing w:before="312" w:beforeLines="100"/>
        <w:rPr>
          <w:rFonts w:ascii="Times New Roman"/>
          <w:szCs w:val="21"/>
        </w:rPr>
      </w:pPr>
      <w:r>
        <w:rPr>
          <w:rFonts w:ascii="Times New Roman"/>
          <w:szCs w:val="21"/>
        </w:rPr>
        <w:t>强度高的抹灰砂浆不应涂抹在强度低的基层抹灰砂浆上。</w:t>
      </w:r>
    </w:p>
    <w:p>
      <w:pPr>
        <w:pStyle w:val="166"/>
        <w:rPr>
          <w:rFonts w:ascii="Times New Roman"/>
          <w:szCs w:val="21"/>
        </w:rPr>
      </w:pPr>
      <w:r>
        <w:rPr>
          <w:rFonts w:ascii="Times New Roman"/>
          <w:szCs w:val="21"/>
        </w:rPr>
        <w:t>抹灰施工应在主体结构验收合格后进行。非烧结块材墙体抹灰宜在墙体砌筑完成60d后进行，最短不应少于45d。</w:t>
      </w:r>
    </w:p>
    <w:p>
      <w:pPr>
        <w:pStyle w:val="166"/>
        <w:rPr>
          <w:rFonts w:ascii="Times New Roman"/>
          <w:szCs w:val="21"/>
        </w:rPr>
      </w:pPr>
      <w:r>
        <w:rPr>
          <w:rFonts w:ascii="Times New Roman"/>
          <w:szCs w:val="21"/>
        </w:rPr>
        <w:t>应根据设计要求、抹灰砂浆产品性能、基层情况等确定</w:t>
      </w:r>
      <w:r>
        <w:rPr>
          <w:rFonts w:hint="eastAsia" w:ascii="Times New Roman"/>
          <w:szCs w:val="21"/>
        </w:rPr>
        <w:t>抹灰工艺，且</w:t>
      </w:r>
      <w:r>
        <w:rPr>
          <w:rFonts w:ascii="Times New Roman"/>
          <w:szCs w:val="21"/>
        </w:rPr>
        <w:t>施工单位宜和</w:t>
      </w:r>
      <w:r>
        <w:rPr>
          <w:rFonts w:hint="eastAsia" w:ascii="Times New Roman"/>
          <w:szCs w:val="21"/>
        </w:rPr>
        <w:t>砂浆</w:t>
      </w:r>
      <w:r>
        <w:rPr>
          <w:rFonts w:ascii="Times New Roman"/>
          <w:szCs w:val="21"/>
        </w:rPr>
        <w:t>生产企业、监理单位共同模拟现场条件制作抹灰样板，在规定龄期进行实体拉伸粘结强度检验，合格后封存留样。</w:t>
      </w:r>
    </w:p>
    <w:p>
      <w:pPr>
        <w:pStyle w:val="166"/>
        <w:rPr>
          <w:rFonts w:ascii="Times New Roman"/>
          <w:szCs w:val="21"/>
        </w:rPr>
      </w:pPr>
      <w:r>
        <w:rPr>
          <w:rFonts w:ascii="Times New Roman"/>
          <w:szCs w:val="21"/>
        </w:rPr>
        <w:t>抹灰</w:t>
      </w:r>
      <w:r>
        <w:rPr>
          <w:rFonts w:hint="eastAsia" w:ascii="Times New Roman"/>
          <w:szCs w:val="21"/>
        </w:rPr>
        <w:t>砂浆施工前，基层的处理</w:t>
      </w:r>
      <w:r>
        <w:rPr>
          <w:rFonts w:ascii="Times New Roman"/>
          <w:szCs w:val="21"/>
        </w:rPr>
        <w:t>应符合下列规定：</w:t>
      </w:r>
    </w:p>
    <w:p>
      <w:pPr>
        <w:pStyle w:val="166"/>
        <w:numPr>
          <w:ilvl w:val="0"/>
          <w:numId w:val="48"/>
        </w:numPr>
        <w:rPr>
          <w:rFonts w:ascii="Times New Roman"/>
          <w:szCs w:val="21"/>
        </w:rPr>
      </w:pPr>
      <w:r>
        <w:rPr>
          <w:rFonts w:ascii="Times New Roman"/>
          <w:szCs w:val="21"/>
        </w:rPr>
        <w:t>基层应平整、坚固，表面应洁净</w:t>
      </w:r>
      <w:r>
        <w:rPr>
          <w:rFonts w:hint="eastAsia" w:ascii="Times New Roman"/>
          <w:szCs w:val="21"/>
        </w:rPr>
        <w:t>。</w:t>
      </w:r>
      <w:r>
        <w:rPr>
          <w:rFonts w:ascii="Times New Roman"/>
          <w:szCs w:val="21"/>
        </w:rPr>
        <w:t>上道工序留下的沟槽、孔洞等应进行填实修整</w:t>
      </w:r>
      <w:r>
        <w:rPr>
          <w:rFonts w:hint="eastAsia" w:ascii="Times New Roman"/>
          <w:szCs w:val="21"/>
        </w:rPr>
        <w:t>，并应采取措施对已完成的工程和设施进行防护；</w:t>
      </w:r>
    </w:p>
    <w:p>
      <w:pPr>
        <w:pStyle w:val="166"/>
        <w:numPr>
          <w:ilvl w:val="0"/>
          <w:numId w:val="48"/>
        </w:numPr>
        <w:rPr>
          <w:rFonts w:ascii="Times New Roman"/>
          <w:szCs w:val="21"/>
        </w:rPr>
      </w:pPr>
      <w:r>
        <w:rPr>
          <w:rFonts w:ascii="Times New Roman"/>
          <w:szCs w:val="21"/>
        </w:rPr>
        <w:t>不同材质的基体交接处，应有防止开裂的加强措施。当采用加强网时，加强网与各基体的搭接宽度不</w:t>
      </w:r>
      <w:r>
        <w:rPr>
          <w:rFonts w:hint="eastAsia" w:ascii="Times New Roman"/>
          <w:szCs w:val="21"/>
        </w:rPr>
        <w:t>宜</w:t>
      </w:r>
      <w:r>
        <w:rPr>
          <w:rFonts w:ascii="Times New Roman"/>
          <w:szCs w:val="21"/>
        </w:rPr>
        <w:t>小于150mm</w:t>
      </w:r>
      <w:r>
        <w:rPr>
          <w:rFonts w:hint="eastAsia" w:ascii="Times New Roman"/>
          <w:szCs w:val="21"/>
        </w:rPr>
        <w:t>，不应小于100mm；</w:t>
      </w:r>
    </w:p>
    <w:p>
      <w:pPr>
        <w:pStyle w:val="166"/>
        <w:numPr>
          <w:ilvl w:val="0"/>
          <w:numId w:val="48"/>
        </w:numPr>
        <w:rPr>
          <w:rFonts w:ascii="Times New Roman"/>
          <w:szCs w:val="21"/>
        </w:rPr>
      </w:pPr>
      <w:r>
        <w:rPr>
          <w:rFonts w:ascii="Times New Roman"/>
          <w:szCs w:val="21"/>
        </w:rPr>
        <w:t>门窗口、墙阳角处应提前做好护角</w:t>
      </w:r>
      <w:r>
        <w:rPr>
          <w:rFonts w:hint="eastAsia" w:ascii="Times New Roman"/>
          <w:szCs w:val="21"/>
        </w:rPr>
        <w:t>；</w:t>
      </w:r>
    </w:p>
    <w:p>
      <w:pPr>
        <w:pStyle w:val="166"/>
        <w:numPr>
          <w:ilvl w:val="0"/>
          <w:numId w:val="48"/>
        </w:numPr>
        <w:rPr>
          <w:rFonts w:ascii="Times New Roman"/>
          <w:szCs w:val="21"/>
        </w:rPr>
      </w:pPr>
      <w:r>
        <w:rPr>
          <w:rFonts w:hint="eastAsia" w:ascii="Times New Roman"/>
          <w:szCs w:val="21"/>
        </w:rPr>
        <w:t>当在混凝土砖、蒸压加气混凝土砌块、混凝土小型空心砌块、混凝土多孔砖、蒸压灰砂砖、蒸压粉煤灰砖等基体上抹灰时，宜采用相配套的界面砂浆或界面剂对基层进行处理；蒸压加气混凝土砌块基体上宜用界面砂浆或界面剂满铺；</w:t>
      </w:r>
    </w:p>
    <w:p>
      <w:pPr>
        <w:pStyle w:val="166"/>
        <w:numPr>
          <w:ilvl w:val="0"/>
          <w:numId w:val="48"/>
        </w:numPr>
        <w:rPr>
          <w:rFonts w:ascii="Times New Roman"/>
          <w:szCs w:val="21"/>
        </w:rPr>
      </w:pPr>
      <w:r>
        <w:rPr>
          <w:rFonts w:hint="eastAsia" w:ascii="Times New Roman"/>
          <w:szCs w:val="21"/>
        </w:rPr>
        <w:t>当在烧结多孔砖、烧结空心砖等吸水速度快的基体上抹灰时，应提前对基体浇水润湿，施工时基体表面不得有明水；</w:t>
      </w:r>
    </w:p>
    <w:p>
      <w:pPr>
        <w:pStyle w:val="166"/>
        <w:numPr>
          <w:ilvl w:val="0"/>
          <w:numId w:val="48"/>
        </w:numPr>
        <w:rPr>
          <w:rFonts w:ascii="Times New Roman"/>
          <w:szCs w:val="21"/>
        </w:rPr>
      </w:pPr>
      <w:r>
        <w:rPr>
          <w:rFonts w:hint="eastAsia" w:ascii="Times New Roman"/>
          <w:szCs w:val="21"/>
        </w:rPr>
        <w:t>当采用薄层抹灰砂浆施工时，基层可不做界面处理，不需浇水润湿。</w:t>
      </w:r>
    </w:p>
    <w:p>
      <w:pPr>
        <w:pStyle w:val="166"/>
        <w:rPr>
          <w:rFonts w:ascii="Times New Roman"/>
          <w:szCs w:val="21"/>
        </w:rPr>
      </w:pPr>
      <w:r>
        <w:rPr>
          <w:rFonts w:hint="eastAsia" w:ascii="Times New Roman"/>
          <w:szCs w:val="21"/>
        </w:rPr>
        <w:t>人工抹灰的砂浆厚度应符合下列规定：</w:t>
      </w:r>
    </w:p>
    <w:p>
      <w:pPr>
        <w:pStyle w:val="166"/>
        <w:numPr>
          <w:ilvl w:val="0"/>
          <w:numId w:val="49"/>
        </w:numPr>
        <w:rPr>
          <w:rFonts w:ascii="Times New Roman"/>
          <w:szCs w:val="21"/>
        </w:rPr>
      </w:pPr>
      <w:r>
        <w:rPr>
          <w:rFonts w:ascii="Times New Roman"/>
          <w:szCs w:val="21"/>
        </w:rPr>
        <w:t>采用普通抹灰砂浆抹灰时，每遍涂抹厚度不宜大于10mm；采用薄层抹灰砂浆抹灰时，宜一次成活，厚度不应大于5mm</w:t>
      </w:r>
      <w:r>
        <w:rPr>
          <w:rFonts w:hint="eastAsia" w:ascii="Times New Roman"/>
          <w:szCs w:val="21"/>
        </w:rPr>
        <w:t>；</w:t>
      </w:r>
    </w:p>
    <w:p>
      <w:pPr>
        <w:pStyle w:val="166"/>
        <w:numPr>
          <w:ilvl w:val="0"/>
          <w:numId w:val="49"/>
        </w:numPr>
        <w:rPr>
          <w:rFonts w:ascii="Times New Roman"/>
          <w:szCs w:val="21"/>
        </w:rPr>
      </w:pPr>
      <w:r>
        <w:rPr>
          <w:rFonts w:ascii="Times New Roman"/>
          <w:szCs w:val="21"/>
        </w:rPr>
        <w:t>当抹灰砂浆厚度大于10mm时，应分层抹灰</w:t>
      </w:r>
      <w:r>
        <w:rPr>
          <w:rFonts w:hint="eastAsia" w:ascii="Times New Roman"/>
          <w:szCs w:val="21"/>
        </w:rPr>
        <w:t>，</w:t>
      </w:r>
      <w:r>
        <w:rPr>
          <w:rFonts w:ascii="Times New Roman"/>
          <w:szCs w:val="21"/>
        </w:rPr>
        <w:t>后一层抹灰应在前一层砂浆凝结硬化后进行。每层抹灰砂浆应分别压实、抹平，抹平应在砂浆初凝前完成。面层砂浆表面应平整</w:t>
      </w:r>
      <w:r>
        <w:rPr>
          <w:rFonts w:hint="eastAsia" w:ascii="Times New Roman"/>
          <w:szCs w:val="21"/>
        </w:rPr>
        <w:t>；</w:t>
      </w:r>
    </w:p>
    <w:p>
      <w:pPr>
        <w:pStyle w:val="166"/>
        <w:numPr>
          <w:ilvl w:val="0"/>
          <w:numId w:val="49"/>
        </w:numPr>
        <w:rPr>
          <w:rFonts w:ascii="Times New Roman"/>
          <w:szCs w:val="21"/>
        </w:rPr>
      </w:pPr>
      <w:r>
        <w:rPr>
          <w:rFonts w:ascii="Times New Roman"/>
          <w:szCs w:val="21"/>
        </w:rPr>
        <w:t>当抹灰砂浆总厚度大于或等于35mm时，应采取加强措施</w:t>
      </w:r>
      <w:r>
        <w:rPr>
          <w:rFonts w:hint="eastAsia" w:ascii="Times New Roman"/>
          <w:szCs w:val="21"/>
        </w:rPr>
        <w:t>；</w:t>
      </w:r>
    </w:p>
    <w:p>
      <w:pPr>
        <w:pStyle w:val="166"/>
        <w:numPr>
          <w:ilvl w:val="0"/>
          <w:numId w:val="49"/>
        </w:numPr>
        <w:rPr>
          <w:rFonts w:ascii="Times New Roman"/>
          <w:szCs w:val="21"/>
        </w:rPr>
      </w:pPr>
      <w:r>
        <w:rPr>
          <w:rFonts w:hint="eastAsia" w:ascii="Times New Roman"/>
          <w:szCs w:val="21"/>
        </w:rPr>
        <w:t>砂浆抹灰层的总厚度应符合设计要求。</w:t>
      </w:r>
    </w:p>
    <w:p>
      <w:pPr>
        <w:pStyle w:val="166"/>
        <w:rPr>
          <w:rFonts w:ascii="Times New Roman"/>
          <w:szCs w:val="21"/>
        </w:rPr>
      </w:pPr>
      <w:r>
        <w:rPr>
          <w:rFonts w:ascii="Times New Roman"/>
          <w:szCs w:val="21"/>
        </w:rPr>
        <w:t>内墙抹灰时，应先吊垂直、套方、找规矩、做灰饼、冲筋，并应符合下列规定：</w:t>
      </w:r>
    </w:p>
    <w:p>
      <w:pPr>
        <w:pStyle w:val="166"/>
        <w:numPr>
          <w:ilvl w:val="0"/>
          <w:numId w:val="50"/>
        </w:numPr>
        <w:rPr>
          <w:rFonts w:ascii="Times New Roman"/>
          <w:szCs w:val="21"/>
        </w:rPr>
      </w:pPr>
      <w:r>
        <w:rPr>
          <w:rFonts w:ascii="Times New Roman"/>
          <w:szCs w:val="21"/>
        </w:rPr>
        <w:t>应根据设计图纸要求的抹灰质量及基层表面平整垂直情况，用一面墙做基准，吊垂直、套方、找规矩，并经检查后确定抹灰厚度，抹灰厚度不宜小于5mm</w:t>
      </w:r>
      <w:r>
        <w:rPr>
          <w:rFonts w:hint="eastAsia" w:ascii="Times New Roman"/>
          <w:szCs w:val="21"/>
        </w:rPr>
        <w:t>；</w:t>
      </w:r>
    </w:p>
    <w:p>
      <w:pPr>
        <w:pStyle w:val="166"/>
        <w:numPr>
          <w:ilvl w:val="0"/>
          <w:numId w:val="50"/>
        </w:numPr>
        <w:rPr>
          <w:rFonts w:ascii="Times New Roman"/>
          <w:szCs w:val="21"/>
        </w:rPr>
      </w:pPr>
      <w:r>
        <w:rPr>
          <w:rFonts w:ascii="Times New Roman"/>
          <w:szCs w:val="21"/>
        </w:rPr>
        <w:t>当墙面凹度较大时，应分层填平，每层厚度宜控制在7</w:t>
      </w:r>
      <w:r>
        <w:rPr>
          <w:rFonts w:hint="eastAsia" w:ascii="Times New Roman"/>
          <w:szCs w:val="21"/>
        </w:rPr>
        <w:t>mm</w:t>
      </w:r>
      <w:r>
        <w:rPr>
          <w:rFonts w:ascii="Times New Roman"/>
          <w:szCs w:val="21"/>
        </w:rPr>
        <w:t>～9mm</w:t>
      </w:r>
      <w:r>
        <w:rPr>
          <w:rFonts w:hint="eastAsia" w:ascii="Times New Roman"/>
          <w:szCs w:val="21"/>
        </w:rPr>
        <w:t>；</w:t>
      </w:r>
    </w:p>
    <w:p>
      <w:pPr>
        <w:pStyle w:val="166"/>
        <w:numPr>
          <w:ilvl w:val="0"/>
          <w:numId w:val="50"/>
        </w:numPr>
        <w:rPr>
          <w:rFonts w:ascii="Times New Roman"/>
          <w:szCs w:val="21"/>
        </w:rPr>
      </w:pPr>
      <w:r>
        <w:rPr>
          <w:rFonts w:ascii="Times New Roman"/>
          <w:szCs w:val="21"/>
        </w:rPr>
        <w:t>抹灰饼时，应根据室内抹灰要求确定灰饼的正确位置，并先抹上部灰饼，再抹下部灰饼</w:t>
      </w:r>
      <w:r>
        <w:rPr>
          <w:rFonts w:hint="eastAsia" w:ascii="Times New Roman"/>
          <w:szCs w:val="21"/>
        </w:rPr>
        <w:t>，</w:t>
      </w:r>
      <w:r>
        <w:rPr>
          <w:rFonts w:ascii="Times New Roman"/>
          <w:szCs w:val="21"/>
        </w:rPr>
        <w:t>然后用靠尺板</w:t>
      </w:r>
      <w:r>
        <w:rPr>
          <w:rFonts w:hint="eastAsia" w:ascii="Times New Roman"/>
          <w:szCs w:val="21"/>
        </w:rPr>
        <w:t>检查</w:t>
      </w:r>
      <w:r>
        <w:rPr>
          <w:rFonts w:ascii="Times New Roman"/>
          <w:szCs w:val="21"/>
        </w:rPr>
        <w:t>垂直与平整。宜用与墙体抹灰相同的抹灰砂浆抹灰饼和冲筋，灰饼宜抹成边长为50mm的方形</w:t>
      </w:r>
      <w:r>
        <w:rPr>
          <w:rFonts w:hint="eastAsia" w:ascii="Times New Roman"/>
          <w:szCs w:val="21"/>
        </w:rPr>
        <w:t>；</w:t>
      </w:r>
    </w:p>
    <w:p>
      <w:pPr>
        <w:pStyle w:val="166"/>
        <w:numPr>
          <w:ilvl w:val="0"/>
          <w:numId w:val="50"/>
        </w:numPr>
        <w:rPr>
          <w:rFonts w:ascii="Times New Roman"/>
          <w:szCs w:val="21"/>
        </w:rPr>
      </w:pPr>
      <w:r>
        <w:rPr>
          <w:rFonts w:ascii="Times New Roman"/>
          <w:szCs w:val="21"/>
        </w:rPr>
        <w:t>冲筋根数应根据房间的宽度和高度确定。当墙面高度小于3.5m时宜做立筋，两筋间距不宜大于1.5m；当墙面高度大于3.5m时宜做横筋，两筋间距不宜大于2m</w:t>
      </w:r>
      <w:r>
        <w:rPr>
          <w:rFonts w:hint="eastAsia" w:ascii="Times New Roman"/>
          <w:szCs w:val="21"/>
        </w:rPr>
        <w:t>；</w:t>
      </w:r>
    </w:p>
    <w:p>
      <w:pPr>
        <w:pStyle w:val="166"/>
        <w:numPr>
          <w:ilvl w:val="0"/>
          <w:numId w:val="50"/>
        </w:numPr>
        <w:rPr>
          <w:rFonts w:ascii="Times New Roman"/>
          <w:szCs w:val="21"/>
        </w:rPr>
      </w:pPr>
      <w:r>
        <w:rPr>
          <w:rFonts w:ascii="Times New Roman"/>
          <w:szCs w:val="21"/>
        </w:rPr>
        <w:t>冲筋2h后可抹底灰</w:t>
      </w:r>
      <w:r>
        <w:rPr>
          <w:rFonts w:hint="eastAsia" w:ascii="Times New Roman"/>
          <w:szCs w:val="21"/>
        </w:rPr>
        <w:t>。</w:t>
      </w:r>
      <w:r>
        <w:rPr>
          <w:rFonts w:ascii="Times New Roman"/>
          <w:szCs w:val="21"/>
        </w:rPr>
        <w:t>先抹一层薄灰，要求压实并覆盖整个基层，待前一层六七成干时，再分层抹灰、找平。</w:t>
      </w:r>
    </w:p>
    <w:p>
      <w:pPr>
        <w:pStyle w:val="166"/>
        <w:rPr>
          <w:rFonts w:ascii="Times New Roman"/>
          <w:szCs w:val="21"/>
        </w:rPr>
      </w:pPr>
      <w:r>
        <w:rPr>
          <w:rFonts w:ascii="Times New Roman"/>
          <w:szCs w:val="21"/>
        </w:rPr>
        <w:t>内墙细部抹灰应符合下列规定：</w:t>
      </w:r>
    </w:p>
    <w:p>
      <w:pPr>
        <w:pStyle w:val="166"/>
        <w:numPr>
          <w:ilvl w:val="0"/>
          <w:numId w:val="51"/>
        </w:numPr>
        <w:rPr>
          <w:rFonts w:ascii="Times New Roman"/>
          <w:szCs w:val="21"/>
        </w:rPr>
      </w:pPr>
      <w:r>
        <w:rPr>
          <w:rFonts w:ascii="Times New Roman"/>
          <w:szCs w:val="21"/>
        </w:rPr>
        <w:t>墙、柱的阳角应在墙、柱抹灰前，可用</w:t>
      </w:r>
      <w:r>
        <w:rPr>
          <w:rFonts w:hint="eastAsia" w:ascii="Times New Roman"/>
          <w:szCs w:val="21"/>
        </w:rPr>
        <w:t>M20以上的</w:t>
      </w:r>
      <w:r>
        <w:rPr>
          <w:rFonts w:ascii="Times New Roman"/>
          <w:szCs w:val="21"/>
        </w:rPr>
        <w:t>砂浆做护角或塑料成品护角条，其高度自地面以上不宜小于2m，每侧宽度宜为50mm</w:t>
      </w:r>
      <w:r>
        <w:rPr>
          <w:rFonts w:hint="eastAsia" w:ascii="Times New Roman"/>
          <w:szCs w:val="21"/>
        </w:rPr>
        <w:t>；</w:t>
      </w:r>
    </w:p>
    <w:p>
      <w:pPr>
        <w:pStyle w:val="166"/>
        <w:numPr>
          <w:ilvl w:val="0"/>
          <w:numId w:val="51"/>
        </w:numPr>
        <w:rPr>
          <w:rFonts w:ascii="Times New Roman"/>
          <w:szCs w:val="21"/>
        </w:rPr>
      </w:pPr>
      <w:r>
        <w:rPr>
          <w:rFonts w:ascii="Times New Roman"/>
          <w:szCs w:val="21"/>
        </w:rPr>
        <w:t>抹水泥窗台时，应先将窗台基层清理干净，采用界面砂浆抹一遍，厚度为2mm，随后再分层抹M20砂浆层</w:t>
      </w:r>
      <w:r>
        <w:rPr>
          <w:rFonts w:hint="eastAsia" w:ascii="Times New Roman"/>
          <w:szCs w:val="21"/>
        </w:rPr>
        <w:t>；</w:t>
      </w:r>
    </w:p>
    <w:p>
      <w:pPr>
        <w:pStyle w:val="166"/>
        <w:numPr>
          <w:ilvl w:val="0"/>
          <w:numId w:val="51"/>
        </w:numPr>
        <w:rPr>
          <w:rFonts w:ascii="Times New Roman"/>
          <w:szCs w:val="21"/>
        </w:rPr>
      </w:pPr>
      <w:r>
        <w:rPr>
          <w:rFonts w:ascii="Times New Roman"/>
          <w:szCs w:val="21"/>
        </w:rPr>
        <w:t>箱、槽、盒外口应与抹灰面齐平或略低于抹灰面。底灰抹平后，应把洞、箱、槽、盒周边杂物清除干净，用水将周边润湿，然后用砂浆把洞口、箱、槽、盒周边压抹平整、光滑</w:t>
      </w:r>
      <w:r>
        <w:rPr>
          <w:rFonts w:hint="eastAsia" w:ascii="Times New Roman"/>
          <w:szCs w:val="21"/>
        </w:rPr>
        <w:t>；</w:t>
      </w:r>
    </w:p>
    <w:p>
      <w:pPr>
        <w:pStyle w:val="166"/>
        <w:numPr>
          <w:ilvl w:val="0"/>
          <w:numId w:val="51"/>
        </w:numPr>
        <w:rPr>
          <w:rFonts w:ascii="Times New Roman"/>
          <w:szCs w:val="21"/>
        </w:rPr>
      </w:pPr>
      <w:r>
        <w:rPr>
          <w:rFonts w:ascii="Times New Roman"/>
          <w:szCs w:val="21"/>
        </w:rPr>
        <w:t>水泥踢脚线和墙裙应用M20</w:t>
      </w:r>
      <w:r>
        <w:rPr>
          <w:rFonts w:hint="eastAsia" w:ascii="Times New Roman"/>
          <w:szCs w:val="21"/>
        </w:rPr>
        <w:t>以上的</w:t>
      </w:r>
      <w:r>
        <w:rPr>
          <w:rFonts w:ascii="Times New Roman"/>
          <w:szCs w:val="21"/>
        </w:rPr>
        <w:t>砂浆分层抹灰。</w:t>
      </w:r>
    </w:p>
    <w:p>
      <w:pPr>
        <w:pStyle w:val="166"/>
        <w:rPr>
          <w:rFonts w:ascii="Times New Roman"/>
          <w:szCs w:val="21"/>
        </w:rPr>
      </w:pPr>
      <w:r>
        <w:rPr>
          <w:rFonts w:ascii="Times New Roman"/>
          <w:szCs w:val="21"/>
        </w:rPr>
        <w:t>外墙大面积抹灰时，应设置水平和垂直分隔缝。水平分格缝的间距不宜大于6m，垂直分隔缝宜按照墙面面积设置，且不宜大于30m</w:t>
      </w:r>
      <w:r>
        <w:rPr>
          <w:rFonts w:ascii="Times New Roman"/>
          <w:szCs w:val="21"/>
          <w:vertAlign w:val="superscript"/>
        </w:rPr>
        <w:t>2</w:t>
      </w:r>
      <w:r>
        <w:rPr>
          <w:rFonts w:ascii="Times New Roman"/>
          <w:szCs w:val="21"/>
        </w:rPr>
        <w:t>。</w:t>
      </w:r>
    </w:p>
    <w:p>
      <w:pPr>
        <w:pStyle w:val="166"/>
        <w:rPr>
          <w:rFonts w:ascii="Times New Roman"/>
          <w:szCs w:val="21"/>
        </w:rPr>
      </w:pPr>
      <w:r>
        <w:rPr>
          <w:rFonts w:ascii="Times New Roman"/>
          <w:szCs w:val="21"/>
        </w:rPr>
        <w:t>外墙抹灰前，应先吊垂直、套方、找规矩、做灰饼、冲筋，并应符合下列规定：</w:t>
      </w:r>
    </w:p>
    <w:p>
      <w:pPr>
        <w:pStyle w:val="166"/>
        <w:numPr>
          <w:ilvl w:val="0"/>
          <w:numId w:val="52"/>
        </w:numPr>
        <w:rPr>
          <w:rFonts w:ascii="Times New Roman"/>
          <w:szCs w:val="21"/>
        </w:rPr>
      </w:pPr>
      <w:r>
        <w:rPr>
          <w:rFonts w:ascii="Times New Roman"/>
          <w:szCs w:val="21"/>
        </w:rPr>
        <w:t>外墙抹灰找规矩时，应先根据建筑物高度确定放线方法，然后按抹灰操作层抹灰饼</w:t>
      </w:r>
      <w:r>
        <w:rPr>
          <w:rFonts w:hint="eastAsia" w:ascii="Times New Roman"/>
          <w:szCs w:val="21"/>
        </w:rPr>
        <w:t>；</w:t>
      </w:r>
    </w:p>
    <w:p>
      <w:pPr>
        <w:pStyle w:val="166"/>
        <w:numPr>
          <w:ilvl w:val="0"/>
          <w:numId w:val="52"/>
        </w:numPr>
        <w:rPr>
          <w:rFonts w:ascii="Times New Roman"/>
          <w:szCs w:val="21"/>
        </w:rPr>
      </w:pPr>
      <w:r>
        <w:rPr>
          <w:rFonts w:ascii="Times New Roman"/>
          <w:szCs w:val="21"/>
        </w:rPr>
        <w:t>每层抹灰时应以灰饼做基准冲筋</w:t>
      </w:r>
      <w:r>
        <w:rPr>
          <w:rFonts w:hint="eastAsia" w:ascii="Times New Roman"/>
          <w:szCs w:val="21"/>
        </w:rPr>
        <w:t>；</w:t>
      </w:r>
    </w:p>
    <w:p>
      <w:pPr>
        <w:pStyle w:val="166"/>
        <w:numPr>
          <w:ilvl w:val="0"/>
          <w:numId w:val="52"/>
        </w:numPr>
        <w:rPr>
          <w:rFonts w:ascii="Times New Roman"/>
          <w:szCs w:val="21"/>
        </w:rPr>
      </w:pPr>
      <w:r>
        <w:rPr>
          <w:rFonts w:ascii="Times New Roman"/>
          <w:szCs w:val="21"/>
        </w:rPr>
        <w:t>外墙抹灰应在冲筋2h后再抹底灰。先抹一层薄灰，要求压实并覆盖整个基层，</w:t>
      </w:r>
      <w:r>
        <w:rPr>
          <w:rFonts w:hint="eastAsia" w:ascii="Times New Roman"/>
          <w:szCs w:val="21"/>
        </w:rPr>
        <w:t>待前一层六七成干时再分层抹灰，</w:t>
      </w:r>
      <w:r>
        <w:rPr>
          <w:rFonts w:ascii="Times New Roman"/>
          <w:szCs w:val="21"/>
        </w:rPr>
        <w:t>每层每次抹灰厚度</w:t>
      </w:r>
      <w:r>
        <w:rPr>
          <w:rFonts w:hint="eastAsia" w:ascii="Times New Roman"/>
          <w:szCs w:val="21"/>
        </w:rPr>
        <w:t>宜为</w:t>
      </w:r>
      <w:r>
        <w:rPr>
          <w:rFonts w:ascii="Times New Roman"/>
          <w:szCs w:val="21"/>
        </w:rPr>
        <w:t>5</w:t>
      </w:r>
      <w:r>
        <w:rPr>
          <w:rFonts w:hint="eastAsia" w:ascii="Times New Roman"/>
          <w:szCs w:val="21"/>
        </w:rPr>
        <w:t>mm</w:t>
      </w:r>
      <w:r>
        <w:rPr>
          <w:rFonts w:ascii="Times New Roman"/>
          <w:szCs w:val="21"/>
        </w:rPr>
        <w:t>～7mm。</w:t>
      </w:r>
    </w:p>
    <w:p>
      <w:pPr>
        <w:pStyle w:val="166"/>
        <w:rPr>
          <w:rFonts w:ascii="Times New Roman"/>
          <w:szCs w:val="21"/>
        </w:rPr>
      </w:pPr>
      <w:r>
        <w:rPr>
          <w:rFonts w:ascii="Times New Roman"/>
          <w:szCs w:val="21"/>
        </w:rPr>
        <w:t>外墙细部抹灰应符合下列规定：</w:t>
      </w:r>
    </w:p>
    <w:p>
      <w:pPr>
        <w:pStyle w:val="166"/>
        <w:numPr>
          <w:ilvl w:val="0"/>
          <w:numId w:val="53"/>
        </w:numPr>
        <w:rPr>
          <w:rFonts w:ascii="Times New Roman"/>
          <w:szCs w:val="21"/>
        </w:rPr>
      </w:pPr>
      <w:r>
        <w:rPr>
          <w:rFonts w:ascii="Times New Roman"/>
          <w:szCs w:val="21"/>
        </w:rPr>
        <w:t>在抹檐口、窗台、窗眉、阳台、雨棚、压顶和突出墙面的腰线以及装饰凸线时，上面应有流水坡度，下面做滴水线，严禁出现倒坡。窗</w:t>
      </w:r>
      <w:r>
        <w:rPr>
          <w:rFonts w:hint="eastAsia" w:ascii="Times New Roman"/>
          <w:szCs w:val="21"/>
        </w:rPr>
        <w:t>洞口</w:t>
      </w:r>
      <w:r>
        <w:rPr>
          <w:rFonts w:ascii="Times New Roman"/>
          <w:szCs w:val="21"/>
        </w:rPr>
        <w:t>的抹灰层应深入窗框周边的缝隙内，并应堵塞密实</w:t>
      </w:r>
      <w:r>
        <w:rPr>
          <w:rFonts w:hint="eastAsia" w:ascii="Times New Roman"/>
          <w:szCs w:val="21"/>
        </w:rPr>
        <w:t>；</w:t>
      </w:r>
    </w:p>
    <w:p>
      <w:pPr>
        <w:pStyle w:val="166"/>
        <w:numPr>
          <w:ilvl w:val="0"/>
          <w:numId w:val="53"/>
        </w:numPr>
        <w:rPr>
          <w:rFonts w:ascii="Times New Roman"/>
          <w:szCs w:val="21"/>
        </w:rPr>
      </w:pPr>
      <w:r>
        <w:rPr>
          <w:rFonts w:ascii="Times New Roman"/>
          <w:szCs w:val="21"/>
        </w:rPr>
        <w:t>阳台、窗台、压顶等部位应用M20</w:t>
      </w:r>
      <w:r>
        <w:rPr>
          <w:rFonts w:hint="eastAsia" w:ascii="Times New Roman"/>
          <w:szCs w:val="21"/>
        </w:rPr>
        <w:t>以上</w:t>
      </w:r>
      <w:r>
        <w:rPr>
          <w:rFonts w:ascii="Times New Roman"/>
          <w:szCs w:val="21"/>
        </w:rPr>
        <w:t>砂浆分层抹灰。</w:t>
      </w:r>
    </w:p>
    <w:p>
      <w:pPr>
        <w:pStyle w:val="166"/>
        <w:rPr>
          <w:rFonts w:ascii="Times New Roman"/>
          <w:szCs w:val="21"/>
        </w:rPr>
      </w:pPr>
      <w:r>
        <w:rPr>
          <w:rFonts w:hint="eastAsia" w:ascii="Times New Roman"/>
          <w:szCs w:val="21"/>
        </w:rPr>
        <w:t>混凝土预制构件、铝模浇筑混凝土等表面抹灰前宜采取涂刷水溶性丙烯酸乳液、环氧树脂喷砂等方式进行界面处理，然后再分别按照内墙、外墙抹灰要求进行抹灰施工。</w:t>
      </w:r>
    </w:p>
    <w:p>
      <w:pPr>
        <w:pStyle w:val="166"/>
        <w:rPr>
          <w:rFonts w:ascii="Times New Roman"/>
          <w:szCs w:val="21"/>
        </w:rPr>
      </w:pPr>
      <w:r>
        <w:rPr>
          <w:rFonts w:ascii="Times New Roman"/>
          <w:szCs w:val="21"/>
        </w:rPr>
        <w:t>机械喷涂抹灰砂浆施工应符合下列规定：</w:t>
      </w:r>
    </w:p>
    <w:p>
      <w:pPr>
        <w:pStyle w:val="166"/>
        <w:numPr>
          <w:ilvl w:val="0"/>
          <w:numId w:val="54"/>
        </w:numPr>
        <w:rPr>
          <w:rFonts w:ascii="Times New Roman"/>
          <w:szCs w:val="21"/>
        </w:rPr>
      </w:pPr>
      <w:r>
        <w:rPr>
          <w:rFonts w:ascii="Times New Roman"/>
          <w:szCs w:val="21"/>
        </w:rPr>
        <w:t>机械喷涂设备应符合《机械喷涂抹灰施工规程》JGJ/T 105</w:t>
      </w:r>
      <w:r>
        <w:rPr>
          <w:rFonts w:hint="eastAsia" w:ascii="Times New Roman"/>
          <w:szCs w:val="21"/>
        </w:rPr>
        <w:t>的</w:t>
      </w:r>
      <w:r>
        <w:rPr>
          <w:rFonts w:ascii="Times New Roman"/>
          <w:szCs w:val="21"/>
        </w:rPr>
        <w:t>要求</w:t>
      </w:r>
      <w:r>
        <w:rPr>
          <w:rFonts w:hint="eastAsia" w:ascii="Times New Roman"/>
          <w:szCs w:val="21"/>
        </w:rPr>
        <w:t>；</w:t>
      </w:r>
      <w:r>
        <w:rPr>
          <w:rFonts w:ascii="Times New Roman"/>
          <w:szCs w:val="21"/>
        </w:rPr>
        <w:t xml:space="preserve"> </w:t>
      </w:r>
    </w:p>
    <w:p>
      <w:pPr>
        <w:pStyle w:val="166"/>
        <w:numPr>
          <w:ilvl w:val="0"/>
          <w:numId w:val="54"/>
        </w:numPr>
        <w:rPr>
          <w:rFonts w:ascii="Times New Roman"/>
          <w:szCs w:val="21"/>
        </w:rPr>
      </w:pPr>
      <w:r>
        <w:rPr>
          <w:rFonts w:hint="eastAsia" w:ascii="Times New Roman"/>
          <w:szCs w:val="21"/>
        </w:rPr>
        <w:t>抹灰砂浆的稠度宜根据施工要求确定，也可按表18选用；</w:t>
      </w:r>
    </w:p>
    <w:p>
      <w:pPr>
        <w:pStyle w:val="166"/>
        <w:numPr>
          <w:ilvl w:val="0"/>
          <w:numId w:val="54"/>
        </w:numPr>
        <w:rPr>
          <w:rFonts w:ascii="Times New Roman"/>
          <w:szCs w:val="21"/>
        </w:rPr>
      </w:pPr>
      <w:r>
        <w:rPr>
          <w:rFonts w:ascii="Times New Roman"/>
          <w:szCs w:val="21"/>
        </w:rPr>
        <w:t>喷涂</w:t>
      </w:r>
      <w:r>
        <w:rPr>
          <w:rFonts w:hint="eastAsia" w:ascii="Times New Roman"/>
          <w:szCs w:val="21"/>
        </w:rPr>
        <w:t>施工前</w:t>
      </w:r>
      <w:r>
        <w:rPr>
          <w:rFonts w:ascii="Times New Roman"/>
          <w:szCs w:val="21"/>
        </w:rPr>
        <w:t>应先</w:t>
      </w:r>
      <w:r>
        <w:rPr>
          <w:rFonts w:hint="eastAsia" w:ascii="Times New Roman"/>
          <w:szCs w:val="21"/>
        </w:rPr>
        <w:t>用</w:t>
      </w:r>
      <w:r>
        <w:rPr>
          <w:rFonts w:ascii="Times New Roman"/>
          <w:szCs w:val="21"/>
        </w:rPr>
        <w:t>泵送浆液润滑输送泵及全部管道。润滑浆液宜采用质量比为1:1的水泥净浆</w:t>
      </w:r>
      <w:r>
        <w:rPr>
          <w:rFonts w:hint="eastAsia" w:ascii="Times New Roman"/>
          <w:szCs w:val="21"/>
        </w:rPr>
        <w:t>；</w:t>
      </w:r>
      <w:r>
        <w:rPr>
          <w:rFonts w:ascii="Times New Roman"/>
          <w:szCs w:val="21"/>
        </w:rPr>
        <w:t xml:space="preserve"> </w:t>
      </w:r>
    </w:p>
    <w:p>
      <w:pPr>
        <w:pStyle w:val="166"/>
        <w:numPr>
          <w:ilvl w:val="0"/>
          <w:numId w:val="54"/>
        </w:numPr>
        <w:rPr>
          <w:rFonts w:ascii="Times New Roman"/>
          <w:szCs w:val="21"/>
        </w:rPr>
      </w:pPr>
      <w:r>
        <w:rPr>
          <w:rFonts w:ascii="Times New Roman"/>
          <w:szCs w:val="21"/>
        </w:rPr>
        <w:t>喷涂顺序和路线宜先远后近、先上后下、先里后外。当墙体材料不同时，应先喷涂吸水性弱的墙面，后喷涂吸水性强的墙面</w:t>
      </w:r>
      <w:r>
        <w:rPr>
          <w:rFonts w:hint="eastAsia" w:ascii="Times New Roman"/>
          <w:szCs w:val="21"/>
        </w:rPr>
        <w:t>；</w:t>
      </w:r>
    </w:p>
    <w:p>
      <w:pPr>
        <w:pStyle w:val="166"/>
        <w:numPr>
          <w:ilvl w:val="0"/>
          <w:numId w:val="54"/>
        </w:numPr>
        <w:rPr>
          <w:rFonts w:ascii="Times New Roman"/>
          <w:szCs w:val="21"/>
        </w:rPr>
      </w:pPr>
      <w:r>
        <w:rPr>
          <w:rFonts w:hint="eastAsia" w:ascii="Times New Roman"/>
          <w:szCs w:val="21"/>
        </w:rPr>
        <w:t>喷涂时，喷射距离和喷射角的大小宜按表19选用；</w:t>
      </w:r>
    </w:p>
    <w:p>
      <w:pPr>
        <w:pStyle w:val="166"/>
        <w:numPr>
          <w:ilvl w:val="0"/>
          <w:numId w:val="54"/>
        </w:numPr>
        <w:rPr>
          <w:rFonts w:ascii="Times New Roman"/>
          <w:szCs w:val="21"/>
        </w:rPr>
      </w:pPr>
      <w:r>
        <w:rPr>
          <w:rFonts w:ascii="Times New Roman"/>
          <w:szCs w:val="21"/>
        </w:rPr>
        <w:t>一次喷涂厚度不宜超过10mm，表层砂浆宜超过标筋1mm左右</w:t>
      </w:r>
      <w:r>
        <w:rPr>
          <w:rFonts w:hint="eastAsia" w:ascii="Times New Roman"/>
          <w:szCs w:val="21"/>
        </w:rPr>
        <w:t>；</w:t>
      </w:r>
    </w:p>
    <w:p>
      <w:pPr>
        <w:pStyle w:val="166"/>
        <w:numPr>
          <w:ilvl w:val="0"/>
          <w:numId w:val="54"/>
        </w:numPr>
        <w:rPr>
          <w:rFonts w:ascii="Times New Roman"/>
          <w:szCs w:val="21"/>
        </w:rPr>
      </w:pPr>
      <w:r>
        <w:rPr>
          <w:rFonts w:ascii="Times New Roman"/>
          <w:szCs w:val="21"/>
        </w:rPr>
        <w:t>砂浆喷涂量不足时，应及时补平。</w:t>
      </w:r>
      <w:r>
        <w:rPr>
          <w:rFonts w:hint="eastAsia" w:ascii="Times New Roman"/>
          <w:szCs w:val="21"/>
        </w:rPr>
        <w:t>表层砂浆喷涂结束后，应及时进行面层处理。</w:t>
      </w:r>
    </w:p>
    <w:p>
      <w:pPr>
        <w:pStyle w:val="166"/>
        <w:numPr>
          <w:ilvl w:val="0"/>
          <w:numId w:val="0"/>
        </w:numPr>
        <w:spacing w:before="156" w:beforeLines="50" w:after="156" w:afterLines="50"/>
        <w:jc w:val="center"/>
        <w:rPr>
          <w:rFonts w:ascii="Times New Roman" w:eastAsia="黑体"/>
          <w:szCs w:val="21"/>
        </w:rPr>
      </w:pPr>
      <w:r>
        <w:rPr>
          <w:rFonts w:ascii="Times New Roman" w:eastAsia="黑体"/>
          <w:szCs w:val="21"/>
        </w:rPr>
        <w:t>表</w:t>
      </w:r>
      <w:r>
        <w:rPr>
          <w:rFonts w:hint="eastAsia" w:ascii="Times New Roman" w:eastAsia="黑体"/>
          <w:szCs w:val="21"/>
        </w:rPr>
        <w:t>18</w:t>
      </w:r>
      <w:r>
        <w:rPr>
          <w:rFonts w:ascii="Times New Roman" w:eastAsia="黑体"/>
          <w:szCs w:val="21"/>
        </w:rPr>
        <w:t xml:space="preserve"> 机械喷涂抹灰砂浆稠度</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453"/>
        <w:gridCol w:w="21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894" w:type="pct"/>
            <w:tcBorders>
              <w:top w:val="single" w:color="auto" w:sz="12" w:space="0"/>
              <w:left w:val="single" w:color="auto" w:sz="12" w:space="0"/>
              <w:bottom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基层</w:t>
            </w:r>
          </w:p>
        </w:tc>
        <w:tc>
          <w:tcPr>
            <w:tcW w:w="1106" w:type="pct"/>
            <w:tcBorders>
              <w:top w:val="single" w:color="auto" w:sz="12" w:space="0"/>
              <w:bottom w:val="single" w:color="auto" w:sz="12" w:space="0"/>
              <w:righ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砂浆稠度/mm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894" w:type="pct"/>
            <w:tcBorders>
              <w:top w:val="single" w:color="auto" w:sz="12" w:space="0"/>
              <w:left w:val="single" w:color="auto" w:sz="12" w:space="0"/>
              <w:bottom w:val="single" w:color="000000" w:sz="4"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混凝土、普通混凝土小型空心砌块基层，</w:t>
            </w:r>
          </w:p>
          <w:p>
            <w:pPr>
              <w:spacing w:line="240" w:lineRule="auto"/>
              <w:jc w:val="center"/>
              <w:rPr>
                <w:rFonts w:ascii="Times New Roman" w:hAnsi="Times New Roman"/>
                <w:sz w:val="18"/>
                <w:szCs w:val="18"/>
              </w:rPr>
            </w:pPr>
            <w:r>
              <w:rPr>
                <w:rFonts w:ascii="Times New Roman" w:hAnsi="Times New Roman"/>
                <w:sz w:val="18"/>
                <w:szCs w:val="18"/>
              </w:rPr>
              <w:t>混凝土实心砖、混凝土多孔砖、蒸压灰砂砖砌体基层</w:t>
            </w:r>
          </w:p>
        </w:tc>
        <w:tc>
          <w:tcPr>
            <w:tcW w:w="1106" w:type="pct"/>
            <w:tcBorders>
              <w:top w:val="single" w:color="auto" w:sz="12" w:space="0"/>
              <w:bottom w:val="single" w:color="000000" w:sz="4" w:space="0"/>
              <w:righ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894" w:type="pct"/>
            <w:tcBorders>
              <w:left w:val="single" w:color="auto" w:sz="12" w:space="0"/>
              <w:bottom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烧结页岩砖、烧结多孔砖、烧结空心砖、蒸压粉煤灰砖砌体基层，</w:t>
            </w:r>
          </w:p>
          <w:p>
            <w:pPr>
              <w:spacing w:line="240" w:lineRule="auto"/>
              <w:jc w:val="center"/>
              <w:rPr>
                <w:rFonts w:ascii="Times New Roman" w:hAnsi="Times New Roman"/>
                <w:sz w:val="18"/>
                <w:szCs w:val="18"/>
              </w:rPr>
            </w:pPr>
            <w:r>
              <w:rPr>
                <w:rFonts w:ascii="Times New Roman" w:hAnsi="Times New Roman"/>
                <w:sz w:val="18"/>
                <w:szCs w:val="18"/>
              </w:rPr>
              <w:t>轻集料混凝土小型空心砌块基层</w:t>
            </w:r>
          </w:p>
        </w:tc>
        <w:tc>
          <w:tcPr>
            <w:tcW w:w="1106" w:type="pct"/>
            <w:tcBorders>
              <w:bottom w:val="single" w:color="auto" w:sz="12" w:space="0"/>
              <w:right w:val="single" w:color="auto" w:sz="12" w:space="0"/>
            </w:tcBorders>
            <w:vAlign w:val="center"/>
          </w:tcPr>
          <w:p>
            <w:pPr>
              <w:spacing w:line="240" w:lineRule="auto"/>
              <w:jc w:val="center"/>
              <w:rPr>
                <w:rFonts w:ascii="Times New Roman" w:hAnsi="Times New Roman"/>
                <w:sz w:val="18"/>
                <w:szCs w:val="18"/>
              </w:rPr>
            </w:pPr>
            <w:r>
              <w:rPr>
                <w:rFonts w:ascii="Times New Roman" w:hAnsi="Times New Roman"/>
                <w:sz w:val="18"/>
                <w:szCs w:val="18"/>
              </w:rPr>
              <w:t>110</w:t>
            </w:r>
          </w:p>
        </w:tc>
      </w:tr>
    </w:tbl>
    <w:p>
      <w:pPr>
        <w:pStyle w:val="166"/>
        <w:numPr>
          <w:ilvl w:val="0"/>
          <w:numId w:val="0"/>
        </w:numPr>
        <w:spacing w:before="156" w:beforeLines="50" w:after="156" w:afterLines="50"/>
        <w:jc w:val="center"/>
        <w:rPr>
          <w:rFonts w:ascii="Times New Roman" w:eastAsia="黑体"/>
          <w:szCs w:val="21"/>
        </w:rPr>
      </w:pPr>
      <w:r>
        <w:rPr>
          <w:rFonts w:ascii="Times New Roman" w:eastAsia="黑体"/>
          <w:szCs w:val="21"/>
        </w:rPr>
        <w:t>表</w:t>
      </w:r>
      <w:r>
        <w:rPr>
          <w:rFonts w:hint="eastAsia" w:ascii="Times New Roman" w:eastAsia="黑体"/>
          <w:szCs w:val="21"/>
        </w:rPr>
        <w:t>19</w:t>
      </w:r>
      <w:r>
        <w:rPr>
          <w:rFonts w:ascii="Times New Roman" w:eastAsia="黑体"/>
          <w:szCs w:val="21"/>
        </w:rPr>
        <w:t xml:space="preserve"> </w:t>
      </w:r>
      <w:r>
        <w:rPr>
          <w:rFonts w:hint="eastAsia" w:ascii="Times New Roman" w:eastAsia="黑体"/>
          <w:szCs w:val="21"/>
        </w:rPr>
        <w:t>喷射距离和喷射角</w:t>
      </w:r>
    </w:p>
    <w:tbl>
      <w:tblPr>
        <w:tblStyle w:val="27"/>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188"/>
        <w:gridCol w:w="3191"/>
        <w:gridCol w:w="31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666" w:type="pct"/>
            <w:tcBorders>
              <w:top w:val="single" w:color="auto" w:sz="12" w:space="0"/>
              <w:left w:val="single" w:color="auto" w:sz="12" w:space="0"/>
              <w:bottom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工程部位</w:t>
            </w:r>
          </w:p>
        </w:tc>
        <w:tc>
          <w:tcPr>
            <w:tcW w:w="1667" w:type="pct"/>
            <w:tcBorders>
              <w:top w:val="single" w:color="auto" w:sz="12" w:space="0"/>
              <w:bottom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喷射距离/</w:t>
            </w:r>
            <w:r>
              <w:rPr>
                <w:rFonts w:ascii="Times New Roman" w:hAnsi="Times New Roman"/>
                <w:sz w:val="18"/>
                <w:szCs w:val="18"/>
              </w:rPr>
              <w:t>mm</w:t>
            </w:r>
          </w:p>
        </w:tc>
        <w:tc>
          <w:tcPr>
            <w:tcW w:w="1667" w:type="pct"/>
            <w:tcBorders>
              <w:top w:val="single" w:color="auto" w:sz="12" w:space="0"/>
              <w:bottom w:val="single" w:color="auto" w:sz="12" w:space="0"/>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喷射角/°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666" w:type="pct"/>
            <w:tcBorders>
              <w:top w:val="single" w:color="auto" w:sz="12" w:space="0"/>
              <w:lef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吸水性强的墙面</w:t>
            </w:r>
          </w:p>
        </w:tc>
        <w:tc>
          <w:tcPr>
            <w:tcW w:w="1667" w:type="pct"/>
            <w:tcBorders>
              <w:top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00~350</w:t>
            </w:r>
          </w:p>
        </w:tc>
        <w:tc>
          <w:tcPr>
            <w:tcW w:w="1667" w:type="pct"/>
            <w:tcBorders>
              <w:top w:val="single" w:color="auto" w:sz="12" w:space="0"/>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8</w:t>
            </w:r>
            <w:r>
              <w:rPr>
                <w:rFonts w:ascii="Times New Roman" w:hAnsi="Times New Roman"/>
                <w:sz w:val="18"/>
                <w:szCs w:val="18"/>
              </w:rPr>
              <w:t>5~90</w:t>
            </w:r>
            <w:r>
              <w:rPr>
                <w:rFonts w:hint="eastAsia" w:ascii="Times New Roman" w:hAnsi="Times New Roman"/>
                <w:sz w:val="18"/>
                <w:szCs w:val="18"/>
              </w:rPr>
              <w:t>（喷嘴上仰）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666" w:type="pct"/>
            <w:tcBorders>
              <w:lef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吸水性弱的墙面</w:t>
            </w:r>
          </w:p>
        </w:tc>
        <w:tc>
          <w:tcPr>
            <w:tcW w:w="1667"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50~400</w:t>
            </w:r>
          </w:p>
        </w:tc>
        <w:tc>
          <w:tcPr>
            <w:tcW w:w="1667" w:type="pct"/>
            <w:tcBorders>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6</w:t>
            </w:r>
            <w:r>
              <w:rPr>
                <w:rFonts w:ascii="Times New Roman" w:hAnsi="Times New Roman"/>
                <w:sz w:val="18"/>
                <w:szCs w:val="18"/>
              </w:rPr>
              <w:t>0~70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666" w:type="pct"/>
            <w:tcBorders>
              <w:lef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踢脚板以上较低部位墙面</w:t>
            </w:r>
          </w:p>
        </w:tc>
        <w:tc>
          <w:tcPr>
            <w:tcW w:w="1667"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00~300</w:t>
            </w:r>
          </w:p>
        </w:tc>
        <w:tc>
          <w:tcPr>
            <w:tcW w:w="1667" w:type="pct"/>
            <w:tcBorders>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6</w:t>
            </w:r>
            <w:r>
              <w:rPr>
                <w:rFonts w:ascii="Times New Roman" w:hAnsi="Times New Roman"/>
                <w:sz w:val="18"/>
                <w:szCs w:val="18"/>
              </w:rPr>
              <w:t>0~70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666" w:type="pct"/>
            <w:tcBorders>
              <w:left w:val="single" w:color="auto" w:sz="12" w:space="0"/>
              <w:bottom w:val="single" w:color="000000" w:sz="4"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顶棚</w:t>
            </w:r>
          </w:p>
        </w:tc>
        <w:tc>
          <w:tcPr>
            <w:tcW w:w="1667" w:type="pct"/>
            <w:tcBorders>
              <w:bottom w:val="single" w:color="000000" w:sz="4"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50~300</w:t>
            </w:r>
          </w:p>
        </w:tc>
        <w:tc>
          <w:tcPr>
            <w:tcW w:w="1667" w:type="pct"/>
            <w:tcBorders>
              <w:bottom w:val="single" w:color="000000" w:sz="4" w:space="0"/>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6</w:t>
            </w:r>
            <w:r>
              <w:rPr>
                <w:rFonts w:ascii="Times New Roman" w:hAnsi="Times New Roman"/>
                <w:sz w:val="18"/>
                <w:szCs w:val="18"/>
              </w:rPr>
              <w:t>0~70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666" w:type="pct"/>
            <w:tcBorders>
              <w:left w:val="single" w:color="auto" w:sz="12" w:space="0"/>
              <w:bottom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地面</w:t>
            </w:r>
          </w:p>
        </w:tc>
        <w:tc>
          <w:tcPr>
            <w:tcW w:w="1667" w:type="pct"/>
            <w:tcBorders>
              <w:bottom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2</w:t>
            </w:r>
            <w:r>
              <w:rPr>
                <w:rFonts w:ascii="Times New Roman" w:hAnsi="Times New Roman"/>
                <w:sz w:val="18"/>
                <w:szCs w:val="18"/>
              </w:rPr>
              <w:t>00~300</w:t>
            </w:r>
          </w:p>
        </w:tc>
        <w:tc>
          <w:tcPr>
            <w:tcW w:w="1667" w:type="pct"/>
            <w:tcBorders>
              <w:bottom w:val="single" w:color="auto" w:sz="12" w:space="0"/>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8</w:t>
            </w:r>
            <w:r>
              <w:rPr>
                <w:rFonts w:ascii="Times New Roman" w:hAnsi="Times New Roman"/>
                <w:sz w:val="18"/>
                <w:szCs w:val="18"/>
              </w:rPr>
              <w:t>5~90</w:t>
            </w:r>
          </w:p>
        </w:tc>
      </w:tr>
    </w:tbl>
    <w:p>
      <w:pPr>
        <w:pStyle w:val="166"/>
        <w:spacing w:before="312" w:beforeLines="100"/>
        <w:rPr>
          <w:rFonts w:ascii="Times New Roman"/>
          <w:szCs w:val="21"/>
        </w:rPr>
      </w:pPr>
      <w:r>
        <w:rPr>
          <w:rFonts w:ascii="Times New Roman"/>
          <w:szCs w:val="21"/>
        </w:rPr>
        <w:t>抹灰砂浆层在凝结前应有防止快干、水冲、撞击、振动和受冻的措施</w:t>
      </w:r>
      <w:r>
        <w:rPr>
          <w:rFonts w:hint="eastAsia" w:ascii="Times New Roman"/>
          <w:szCs w:val="21"/>
        </w:rPr>
        <w:t>；</w:t>
      </w:r>
      <w:r>
        <w:rPr>
          <w:rFonts w:ascii="Times New Roman"/>
          <w:szCs w:val="21"/>
        </w:rPr>
        <w:t>凝结后应及时保湿养护，养护时间应不少于7d。</w:t>
      </w:r>
    </w:p>
    <w:p>
      <w:pPr>
        <w:pStyle w:val="166"/>
        <w:rPr>
          <w:rFonts w:ascii="Times New Roman"/>
          <w:szCs w:val="21"/>
        </w:rPr>
      </w:pPr>
      <w:r>
        <w:rPr>
          <w:rFonts w:hint="eastAsia" w:ascii="Times New Roman"/>
          <w:szCs w:val="21"/>
        </w:rPr>
        <w:t>抹灰砂浆施工除应符合本规程外，尚应符合JGJ</w:t>
      </w:r>
      <w:r>
        <w:rPr>
          <w:rFonts w:ascii="Times New Roman"/>
          <w:szCs w:val="21"/>
        </w:rPr>
        <w:t>/T 220</w:t>
      </w:r>
      <w:r>
        <w:rPr>
          <w:rFonts w:hint="eastAsia" w:ascii="Times New Roman"/>
          <w:szCs w:val="21"/>
        </w:rPr>
        <w:t>、JGJ</w:t>
      </w:r>
      <w:r>
        <w:rPr>
          <w:rFonts w:ascii="Times New Roman"/>
          <w:szCs w:val="21"/>
        </w:rPr>
        <w:t>/T 223</w:t>
      </w:r>
      <w:r>
        <w:rPr>
          <w:rFonts w:hint="eastAsia" w:ascii="Times New Roman"/>
          <w:szCs w:val="21"/>
        </w:rPr>
        <w:t>及</w:t>
      </w:r>
      <w:r>
        <w:rPr>
          <w:rFonts w:ascii="Times New Roman"/>
          <w:szCs w:val="21"/>
        </w:rPr>
        <w:t>GB 50210的</w:t>
      </w:r>
      <w:r>
        <w:rPr>
          <w:rFonts w:hint="eastAsia" w:ascii="Times New Roman"/>
          <w:szCs w:val="21"/>
        </w:rPr>
        <w:t>相关</w:t>
      </w:r>
      <w:r>
        <w:rPr>
          <w:rFonts w:ascii="Times New Roman"/>
          <w:szCs w:val="21"/>
        </w:rPr>
        <w:t>规定。</w:t>
      </w:r>
    </w:p>
    <w:p>
      <w:pPr>
        <w:pStyle w:val="106"/>
        <w:spacing w:before="156" w:after="156"/>
      </w:pPr>
      <w:r>
        <w:rPr>
          <w:rFonts w:hint="eastAsia"/>
        </w:rPr>
        <w:t>地面砂浆施工</w:t>
      </w:r>
    </w:p>
    <w:p>
      <w:pPr>
        <w:pStyle w:val="166"/>
        <w:rPr>
          <w:rFonts w:ascii="Times New Roman"/>
          <w:szCs w:val="21"/>
        </w:rPr>
      </w:pPr>
      <w:r>
        <w:rPr>
          <w:rFonts w:ascii="Times New Roman"/>
          <w:szCs w:val="21"/>
        </w:rPr>
        <w:t>地面砂浆强度等级不应小于M15，面层砂浆的稠度宜为（50±10）mm；地面找平层和面层砂浆的厚度应符合设计要求，且不应小于20mm。</w:t>
      </w:r>
    </w:p>
    <w:p>
      <w:pPr>
        <w:pStyle w:val="166"/>
        <w:rPr>
          <w:rFonts w:ascii="Times New Roman"/>
          <w:szCs w:val="21"/>
        </w:rPr>
      </w:pPr>
      <w:r>
        <w:rPr>
          <w:rFonts w:hint="eastAsia" w:ascii="Times New Roman"/>
          <w:szCs w:val="21"/>
        </w:rPr>
        <w:t>地面砂浆施工前，</w:t>
      </w:r>
      <w:r>
        <w:rPr>
          <w:rFonts w:ascii="Times New Roman"/>
          <w:szCs w:val="21"/>
        </w:rPr>
        <w:t>基层处理应符合下列规定：</w:t>
      </w:r>
    </w:p>
    <w:p>
      <w:pPr>
        <w:pStyle w:val="166"/>
        <w:numPr>
          <w:ilvl w:val="0"/>
          <w:numId w:val="55"/>
        </w:numPr>
        <w:rPr>
          <w:rFonts w:ascii="Times New Roman"/>
          <w:szCs w:val="21"/>
        </w:rPr>
      </w:pPr>
      <w:r>
        <w:rPr>
          <w:rFonts w:ascii="Times New Roman"/>
          <w:szCs w:val="21"/>
        </w:rPr>
        <w:t>基层应平整、坚固，表面应洁净。上道工序留下的沟槽、孔洞等应进行填实修整</w:t>
      </w:r>
      <w:r>
        <w:rPr>
          <w:rFonts w:hint="eastAsia" w:ascii="Times New Roman"/>
          <w:szCs w:val="21"/>
        </w:rPr>
        <w:t>；</w:t>
      </w:r>
      <w:r>
        <w:rPr>
          <w:rFonts w:ascii="Times New Roman"/>
          <w:szCs w:val="21"/>
        </w:rPr>
        <w:t xml:space="preserve"> </w:t>
      </w:r>
    </w:p>
    <w:p>
      <w:pPr>
        <w:pStyle w:val="166"/>
        <w:numPr>
          <w:ilvl w:val="0"/>
          <w:numId w:val="55"/>
        </w:numPr>
        <w:rPr>
          <w:rFonts w:ascii="Times New Roman"/>
          <w:szCs w:val="21"/>
        </w:rPr>
      </w:pPr>
      <w:r>
        <w:rPr>
          <w:rFonts w:ascii="Times New Roman"/>
          <w:szCs w:val="21"/>
        </w:rPr>
        <w:t>基层表面宜提前洒水湿润，施工时表面不得有明水</w:t>
      </w:r>
      <w:r>
        <w:rPr>
          <w:rFonts w:hint="eastAsia" w:ascii="Times New Roman"/>
          <w:szCs w:val="21"/>
        </w:rPr>
        <w:t>；</w:t>
      </w:r>
      <w:r>
        <w:rPr>
          <w:rFonts w:ascii="Times New Roman"/>
          <w:szCs w:val="21"/>
        </w:rPr>
        <w:t xml:space="preserve"> </w:t>
      </w:r>
    </w:p>
    <w:p>
      <w:pPr>
        <w:pStyle w:val="166"/>
        <w:numPr>
          <w:ilvl w:val="0"/>
          <w:numId w:val="55"/>
        </w:numPr>
        <w:rPr>
          <w:rFonts w:ascii="Times New Roman"/>
          <w:szCs w:val="21"/>
        </w:rPr>
      </w:pPr>
      <w:r>
        <w:rPr>
          <w:rFonts w:ascii="Times New Roman"/>
          <w:szCs w:val="21"/>
        </w:rPr>
        <w:t>光滑基面宜采用</w:t>
      </w:r>
      <w:r>
        <w:rPr>
          <w:rFonts w:hint="eastAsia" w:ascii="Times New Roman"/>
          <w:szCs w:val="21"/>
        </w:rPr>
        <w:t>相匹配的</w:t>
      </w:r>
      <w:r>
        <w:rPr>
          <w:rFonts w:ascii="Times New Roman"/>
          <w:szCs w:val="21"/>
        </w:rPr>
        <w:t>界面砂浆进行</w:t>
      </w:r>
      <w:r>
        <w:rPr>
          <w:rFonts w:hint="eastAsia" w:ascii="Times New Roman"/>
          <w:szCs w:val="21"/>
        </w:rPr>
        <w:t>界面</w:t>
      </w:r>
      <w:r>
        <w:rPr>
          <w:rFonts w:ascii="Times New Roman"/>
          <w:szCs w:val="21"/>
        </w:rPr>
        <w:t>处理</w:t>
      </w:r>
      <w:r>
        <w:rPr>
          <w:rFonts w:hint="eastAsia" w:ascii="Times New Roman"/>
          <w:szCs w:val="21"/>
        </w:rPr>
        <w:t>；</w:t>
      </w:r>
    </w:p>
    <w:p>
      <w:pPr>
        <w:pStyle w:val="166"/>
        <w:numPr>
          <w:ilvl w:val="0"/>
          <w:numId w:val="55"/>
        </w:numPr>
        <w:rPr>
          <w:rFonts w:ascii="Times New Roman"/>
          <w:szCs w:val="21"/>
        </w:rPr>
      </w:pPr>
      <w:r>
        <w:rPr>
          <w:rFonts w:ascii="Times New Roman"/>
          <w:szCs w:val="21"/>
        </w:rPr>
        <w:t>有防水要求的地面，施工前应对立管、套管和地漏等与楼板交界处进行密封处理。</w:t>
      </w:r>
    </w:p>
    <w:p>
      <w:pPr>
        <w:pStyle w:val="166"/>
        <w:rPr>
          <w:rFonts w:ascii="Times New Roman"/>
          <w:szCs w:val="21"/>
        </w:rPr>
      </w:pPr>
      <w:r>
        <w:rPr>
          <w:rFonts w:ascii="Times New Roman"/>
          <w:szCs w:val="21"/>
        </w:rPr>
        <w:t>地面</w:t>
      </w:r>
      <w:r>
        <w:rPr>
          <w:rFonts w:hint="eastAsia" w:ascii="Times New Roman"/>
          <w:szCs w:val="21"/>
        </w:rPr>
        <w:t>砂浆</w:t>
      </w:r>
      <w:r>
        <w:rPr>
          <w:rFonts w:ascii="Times New Roman"/>
          <w:szCs w:val="21"/>
        </w:rPr>
        <w:t>施工应符合下列规定：</w:t>
      </w:r>
    </w:p>
    <w:p>
      <w:pPr>
        <w:pStyle w:val="166"/>
        <w:numPr>
          <w:ilvl w:val="0"/>
          <w:numId w:val="56"/>
        </w:numPr>
        <w:rPr>
          <w:rFonts w:ascii="Times New Roman"/>
          <w:szCs w:val="21"/>
        </w:rPr>
      </w:pPr>
      <w:r>
        <w:rPr>
          <w:rFonts w:ascii="Times New Roman"/>
          <w:szCs w:val="21"/>
        </w:rPr>
        <w:t>面层砂浆的铺设宜在室内装饰工程基本完工后进行</w:t>
      </w:r>
      <w:r>
        <w:rPr>
          <w:rFonts w:hint="eastAsia" w:ascii="Times New Roman"/>
          <w:szCs w:val="21"/>
        </w:rPr>
        <w:t>；</w:t>
      </w:r>
    </w:p>
    <w:p>
      <w:pPr>
        <w:pStyle w:val="166"/>
        <w:numPr>
          <w:ilvl w:val="0"/>
          <w:numId w:val="56"/>
        </w:numPr>
        <w:rPr>
          <w:rFonts w:ascii="Times New Roman"/>
          <w:szCs w:val="21"/>
        </w:rPr>
      </w:pPr>
      <w:r>
        <w:rPr>
          <w:rFonts w:ascii="Times New Roman"/>
          <w:szCs w:val="21"/>
        </w:rPr>
        <w:t>地面砂浆铺设时，应随铺随压实抹平，并应在砂浆</w:t>
      </w:r>
      <w:r>
        <w:rPr>
          <w:rFonts w:hint="eastAsia" w:ascii="Times New Roman"/>
          <w:szCs w:val="21"/>
        </w:rPr>
        <w:t>凝结</w:t>
      </w:r>
      <w:r>
        <w:rPr>
          <w:rFonts w:ascii="Times New Roman"/>
          <w:szCs w:val="21"/>
        </w:rPr>
        <w:t>前完成</w:t>
      </w:r>
      <w:r>
        <w:rPr>
          <w:rFonts w:hint="eastAsia" w:ascii="Times New Roman"/>
          <w:szCs w:val="21"/>
        </w:rPr>
        <w:t>；</w:t>
      </w:r>
      <w:r>
        <w:rPr>
          <w:rFonts w:ascii="Times New Roman"/>
          <w:szCs w:val="21"/>
        </w:rPr>
        <w:t xml:space="preserve"> </w:t>
      </w:r>
    </w:p>
    <w:p>
      <w:pPr>
        <w:pStyle w:val="166"/>
        <w:numPr>
          <w:ilvl w:val="0"/>
          <w:numId w:val="56"/>
        </w:numPr>
        <w:rPr>
          <w:rFonts w:ascii="Times New Roman"/>
          <w:szCs w:val="21"/>
        </w:rPr>
      </w:pPr>
      <w:r>
        <w:rPr>
          <w:rFonts w:ascii="Times New Roman"/>
          <w:szCs w:val="21"/>
        </w:rPr>
        <w:t>做踢脚线前应弹好水平控制线，踢脚线出墙厚度应一致，且不应大于8mm</w:t>
      </w:r>
      <w:r>
        <w:rPr>
          <w:rFonts w:hint="eastAsia" w:ascii="Times New Roman"/>
          <w:szCs w:val="21"/>
        </w:rPr>
        <w:t>；</w:t>
      </w:r>
      <w:r>
        <w:rPr>
          <w:rFonts w:ascii="Times New Roman"/>
          <w:szCs w:val="21"/>
        </w:rPr>
        <w:t xml:space="preserve"> </w:t>
      </w:r>
    </w:p>
    <w:p>
      <w:pPr>
        <w:pStyle w:val="166"/>
        <w:numPr>
          <w:ilvl w:val="0"/>
          <w:numId w:val="56"/>
        </w:numPr>
        <w:rPr>
          <w:rFonts w:ascii="Times New Roman"/>
          <w:szCs w:val="21"/>
        </w:rPr>
      </w:pPr>
      <w:r>
        <w:rPr>
          <w:rFonts w:ascii="Times New Roman"/>
          <w:szCs w:val="21"/>
        </w:rPr>
        <w:t>踏步面层施工时，应采取保证每级踏步尺寸均匀的措施，且误差不应大于10mm</w:t>
      </w:r>
      <w:r>
        <w:rPr>
          <w:rFonts w:hint="eastAsia" w:ascii="Times New Roman"/>
          <w:szCs w:val="21"/>
        </w:rPr>
        <w:t>；</w:t>
      </w:r>
      <w:r>
        <w:rPr>
          <w:rFonts w:ascii="Times New Roman"/>
          <w:szCs w:val="21"/>
        </w:rPr>
        <w:t xml:space="preserve"> </w:t>
      </w:r>
    </w:p>
    <w:p>
      <w:pPr>
        <w:pStyle w:val="166"/>
        <w:numPr>
          <w:ilvl w:val="0"/>
          <w:numId w:val="56"/>
        </w:numPr>
        <w:rPr>
          <w:rFonts w:ascii="Times New Roman"/>
          <w:szCs w:val="21"/>
        </w:rPr>
      </w:pPr>
      <w:r>
        <w:rPr>
          <w:rFonts w:ascii="Times New Roman"/>
          <w:szCs w:val="21"/>
        </w:rPr>
        <w:t>地面砂浆铺设时宜设置分格缝，地面分格缝纵横间距不宜大于6m</w:t>
      </w:r>
      <w:r>
        <w:rPr>
          <w:rFonts w:hint="eastAsia" w:ascii="Times New Roman"/>
          <w:szCs w:val="21"/>
        </w:rPr>
        <w:t>；</w:t>
      </w:r>
    </w:p>
    <w:p>
      <w:pPr>
        <w:pStyle w:val="166"/>
        <w:numPr>
          <w:ilvl w:val="0"/>
          <w:numId w:val="56"/>
        </w:numPr>
        <w:rPr>
          <w:rFonts w:ascii="Times New Roman"/>
          <w:szCs w:val="21"/>
        </w:rPr>
      </w:pPr>
      <w:r>
        <w:rPr>
          <w:rFonts w:ascii="Times New Roman"/>
          <w:szCs w:val="21"/>
        </w:rPr>
        <w:t>地面砂浆凝结后应及时保湿养护，养护时间不应少于7d。</w:t>
      </w:r>
    </w:p>
    <w:p>
      <w:pPr>
        <w:pStyle w:val="166"/>
        <w:rPr>
          <w:rFonts w:ascii="Times New Roman"/>
          <w:szCs w:val="21"/>
        </w:rPr>
      </w:pPr>
      <w:r>
        <w:rPr>
          <w:rFonts w:ascii="Times New Roman"/>
          <w:szCs w:val="21"/>
        </w:rPr>
        <w:t>地面砂浆施工完成后，应有防止污染和损坏的措施。面层砂浆的抗压强度未达到设计要求前，应采取保护措施。</w:t>
      </w:r>
    </w:p>
    <w:p>
      <w:pPr>
        <w:pStyle w:val="166"/>
        <w:rPr>
          <w:rFonts w:ascii="Times New Roman"/>
          <w:szCs w:val="21"/>
        </w:rPr>
      </w:pPr>
      <w:r>
        <w:rPr>
          <w:rFonts w:ascii="Times New Roman"/>
          <w:szCs w:val="21"/>
        </w:rPr>
        <w:t>其他施工要求按GB 50209</w:t>
      </w:r>
      <w:r>
        <w:rPr>
          <w:rFonts w:hint="eastAsia" w:ascii="Times New Roman"/>
          <w:szCs w:val="21"/>
        </w:rPr>
        <w:t>和GB 50345</w:t>
      </w:r>
      <w:r>
        <w:rPr>
          <w:rFonts w:ascii="Times New Roman"/>
          <w:szCs w:val="21"/>
        </w:rPr>
        <w:t>的</w:t>
      </w:r>
      <w:r>
        <w:rPr>
          <w:rFonts w:hint="eastAsia" w:ascii="Times New Roman"/>
          <w:szCs w:val="21"/>
        </w:rPr>
        <w:t>相</w:t>
      </w:r>
      <w:r>
        <w:rPr>
          <w:rFonts w:ascii="Times New Roman"/>
          <w:szCs w:val="21"/>
        </w:rPr>
        <w:t>关规定执行。</w:t>
      </w:r>
    </w:p>
    <w:p>
      <w:pPr>
        <w:pStyle w:val="106"/>
        <w:spacing w:before="156" w:after="156"/>
      </w:pPr>
      <w:r>
        <w:rPr>
          <w:rFonts w:hint="eastAsia"/>
        </w:rPr>
        <w:t>普通防水砂浆施工</w:t>
      </w:r>
    </w:p>
    <w:p>
      <w:pPr>
        <w:pStyle w:val="166"/>
        <w:rPr>
          <w:rFonts w:ascii="Times New Roman"/>
          <w:szCs w:val="21"/>
        </w:rPr>
      </w:pPr>
      <w:r>
        <w:rPr>
          <w:rFonts w:hint="eastAsia" w:ascii="Times New Roman"/>
          <w:szCs w:val="21"/>
        </w:rPr>
        <w:t>普通防水砂浆适用于外墙和厨房、卫生间、阳台墙地面的一般防水，不适用于地下结构的迎水面、背水面和屋面的防水工程。</w:t>
      </w:r>
    </w:p>
    <w:p>
      <w:pPr>
        <w:pStyle w:val="166"/>
        <w:rPr>
          <w:rFonts w:ascii="Times New Roman"/>
          <w:szCs w:val="21"/>
        </w:rPr>
      </w:pPr>
      <w:r>
        <w:rPr>
          <w:rFonts w:hint="eastAsia" w:ascii="Times New Roman"/>
          <w:szCs w:val="21"/>
        </w:rPr>
        <w:t>防水砂浆的施工应在基体及主体结构验收合格后进行，且防水砂浆施工前，相关的设备预埋件和管线应安装固定好。</w:t>
      </w:r>
    </w:p>
    <w:p>
      <w:pPr>
        <w:pStyle w:val="166"/>
        <w:rPr>
          <w:rFonts w:ascii="Times New Roman"/>
          <w:szCs w:val="21"/>
        </w:rPr>
      </w:pPr>
      <w:r>
        <w:rPr>
          <w:rFonts w:hint="eastAsia" w:ascii="Times New Roman"/>
          <w:szCs w:val="21"/>
        </w:rPr>
        <w:t>基层处理应符合下列规定：</w:t>
      </w:r>
    </w:p>
    <w:p>
      <w:pPr>
        <w:pStyle w:val="166"/>
        <w:numPr>
          <w:ilvl w:val="0"/>
          <w:numId w:val="57"/>
        </w:numPr>
        <w:rPr>
          <w:rFonts w:ascii="Times New Roman"/>
          <w:szCs w:val="21"/>
        </w:rPr>
      </w:pPr>
      <w:r>
        <w:rPr>
          <w:rFonts w:hint="eastAsia" w:ascii="Times New Roman"/>
          <w:szCs w:val="21"/>
        </w:rPr>
        <w:t>基层应平整、坚固，表面应洁净。当基层平整度超出允许偏差时，宜采用适宜材料补平或剔平；</w:t>
      </w:r>
    </w:p>
    <w:p>
      <w:pPr>
        <w:pStyle w:val="166"/>
        <w:numPr>
          <w:ilvl w:val="0"/>
          <w:numId w:val="57"/>
        </w:numPr>
        <w:rPr>
          <w:rFonts w:ascii="Times New Roman"/>
          <w:szCs w:val="21"/>
        </w:rPr>
      </w:pPr>
      <w:r>
        <w:rPr>
          <w:rFonts w:hint="eastAsia" w:ascii="Times New Roman"/>
          <w:szCs w:val="21"/>
        </w:rPr>
        <w:t>基层宜采用界面砂浆进行处理；</w:t>
      </w:r>
      <w:r>
        <w:rPr>
          <w:rFonts w:ascii="Times New Roman"/>
          <w:szCs w:val="21"/>
        </w:rPr>
        <w:t xml:space="preserve"> </w:t>
      </w:r>
    </w:p>
    <w:p>
      <w:pPr>
        <w:pStyle w:val="166"/>
        <w:numPr>
          <w:ilvl w:val="0"/>
          <w:numId w:val="57"/>
        </w:numPr>
        <w:rPr>
          <w:rFonts w:ascii="Times New Roman"/>
          <w:szCs w:val="21"/>
        </w:rPr>
      </w:pPr>
      <w:r>
        <w:rPr>
          <w:rFonts w:hint="eastAsia" w:ascii="Times New Roman"/>
          <w:szCs w:val="21"/>
        </w:rPr>
        <w:t>当管道、地漏等穿越楼板、墙体时，应在管道、地漏根部做出一定坡度，然后再做环形凹槽，并嵌填适宜的防水密封材料。</w:t>
      </w:r>
    </w:p>
    <w:p>
      <w:pPr>
        <w:pStyle w:val="166"/>
        <w:rPr>
          <w:rFonts w:ascii="Times New Roman"/>
          <w:szCs w:val="21"/>
        </w:rPr>
      </w:pPr>
      <w:r>
        <w:rPr>
          <w:rFonts w:hint="eastAsia" w:ascii="Times New Roman"/>
          <w:szCs w:val="21"/>
        </w:rPr>
        <w:t>防水砂浆的施工应符合下列规定：</w:t>
      </w:r>
    </w:p>
    <w:p>
      <w:pPr>
        <w:pStyle w:val="166"/>
        <w:numPr>
          <w:ilvl w:val="0"/>
          <w:numId w:val="58"/>
        </w:numPr>
        <w:rPr>
          <w:rFonts w:ascii="Times New Roman"/>
          <w:szCs w:val="21"/>
        </w:rPr>
      </w:pPr>
      <w:r>
        <w:rPr>
          <w:rFonts w:hint="eastAsia" w:ascii="Times New Roman"/>
          <w:szCs w:val="21"/>
        </w:rPr>
        <w:t>采用多层抹压法施工，并应在前一层砂浆凝结后再涂抹后一层砂浆，砂浆总</w:t>
      </w:r>
      <w:r>
        <w:rPr>
          <w:rFonts w:ascii="Times New Roman"/>
          <w:szCs w:val="21"/>
        </w:rPr>
        <w:t>厚度宜为18mm~20mm</w:t>
      </w:r>
      <w:r>
        <w:rPr>
          <w:rFonts w:hint="eastAsia" w:ascii="Times New Roman"/>
          <w:szCs w:val="21"/>
        </w:rPr>
        <w:t>；</w:t>
      </w:r>
    </w:p>
    <w:p>
      <w:pPr>
        <w:pStyle w:val="166"/>
        <w:numPr>
          <w:ilvl w:val="0"/>
          <w:numId w:val="58"/>
        </w:numPr>
        <w:rPr>
          <w:rFonts w:ascii="Times New Roman"/>
          <w:szCs w:val="21"/>
        </w:rPr>
      </w:pPr>
      <w:r>
        <w:rPr>
          <w:rFonts w:ascii="Times New Roman"/>
          <w:szCs w:val="21"/>
        </w:rPr>
        <w:t>砂浆防水层各层应紧密结合，每层宜连续施工，当需留施工缝时，应采用阶梯坡形槎，且离阴阳角处不得小于200mm，上下层接槎应至少错开100mm。防水层的阴阳角处宜做成圆弧形或钝角</w:t>
      </w:r>
      <w:r>
        <w:rPr>
          <w:rFonts w:hint="eastAsia" w:ascii="Times New Roman"/>
          <w:szCs w:val="21"/>
        </w:rPr>
        <w:t>。</w:t>
      </w:r>
    </w:p>
    <w:p>
      <w:pPr>
        <w:pStyle w:val="166"/>
        <w:rPr>
          <w:rFonts w:ascii="Times New Roman"/>
          <w:szCs w:val="21"/>
        </w:rPr>
      </w:pPr>
      <w:r>
        <w:rPr>
          <w:rFonts w:hint="eastAsia" w:ascii="Times New Roman"/>
          <w:szCs w:val="21"/>
        </w:rPr>
        <w:t>防水砂浆凝结硬化前，不得直接受水冲刷；</w:t>
      </w:r>
      <w:r>
        <w:rPr>
          <w:rFonts w:ascii="Times New Roman"/>
          <w:szCs w:val="21"/>
        </w:rPr>
        <w:t>凝结硬化后，应保湿养护，养护时间应不少于14d。</w:t>
      </w:r>
    </w:p>
    <w:p>
      <w:pPr>
        <w:pStyle w:val="166"/>
        <w:rPr>
          <w:rFonts w:ascii="Times New Roman"/>
          <w:szCs w:val="21"/>
        </w:rPr>
      </w:pPr>
      <w:r>
        <w:rPr>
          <w:rFonts w:hint="eastAsia" w:ascii="Times New Roman"/>
          <w:szCs w:val="21"/>
        </w:rPr>
        <w:t>储水结构应待砂浆强度达到设计要求后再注水。</w:t>
      </w:r>
    </w:p>
    <w:p>
      <w:pPr>
        <w:pStyle w:val="166"/>
        <w:rPr>
          <w:rFonts w:ascii="Times New Roman"/>
          <w:szCs w:val="21"/>
        </w:rPr>
      </w:pPr>
      <w:r>
        <w:rPr>
          <w:rFonts w:hint="eastAsia" w:ascii="Times New Roman"/>
          <w:szCs w:val="21"/>
        </w:rPr>
        <w:t>普通防水砂浆的施工尚应符合GB 55030的要求。</w:t>
      </w:r>
    </w:p>
    <w:p>
      <w:pPr>
        <w:pStyle w:val="105"/>
        <w:spacing w:before="312" w:after="312"/>
      </w:pPr>
      <w:r>
        <w:rPr>
          <w:rFonts w:hint="eastAsia"/>
        </w:rPr>
        <w:t>质量验收</w:t>
      </w:r>
    </w:p>
    <w:p>
      <w:pPr>
        <w:pStyle w:val="106"/>
        <w:spacing w:before="156" w:after="156"/>
      </w:pPr>
      <w:r>
        <w:rPr>
          <w:rFonts w:hint="eastAsia"/>
        </w:rPr>
        <w:t>一般规定</w:t>
      </w:r>
    </w:p>
    <w:p>
      <w:pPr>
        <w:pStyle w:val="166"/>
        <w:rPr>
          <w:rFonts w:ascii="Times New Roman"/>
          <w:szCs w:val="21"/>
        </w:rPr>
      </w:pPr>
      <w:r>
        <w:rPr>
          <w:rFonts w:hint="eastAsia" w:ascii="Times New Roman"/>
          <w:szCs w:val="21"/>
        </w:rPr>
        <w:t>预拌砂浆</w:t>
      </w:r>
      <w:r>
        <w:rPr>
          <w:rFonts w:ascii="Times New Roman"/>
          <w:szCs w:val="21"/>
        </w:rPr>
        <w:t>进场时，供方应提供产品使用说明书，并按规定批次向需方提供生产单位的</w:t>
      </w:r>
      <w:bookmarkStart w:id="54" w:name="_Hlk174451778"/>
      <w:r>
        <w:rPr>
          <w:rFonts w:ascii="Times New Roman"/>
          <w:szCs w:val="21"/>
        </w:rPr>
        <w:t>出厂检验报告；首次进场或者需方有要求时，应提供有效的产品型式检验报告。</w:t>
      </w:r>
    </w:p>
    <w:bookmarkEnd w:id="54"/>
    <w:p>
      <w:pPr>
        <w:pStyle w:val="166"/>
        <w:rPr>
          <w:rFonts w:ascii="Times New Roman"/>
          <w:szCs w:val="21"/>
        </w:rPr>
      </w:pPr>
      <w:r>
        <w:rPr>
          <w:rFonts w:hint="eastAsia" w:ascii="Times New Roman"/>
          <w:szCs w:val="21"/>
        </w:rPr>
        <w:t>预拌砂浆进场时应进行外观检验，并应符合下列规定：</w:t>
      </w:r>
    </w:p>
    <w:p>
      <w:pPr>
        <w:pStyle w:val="166"/>
        <w:numPr>
          <w:ilvl w:val="0"/>
          <w:numId w:val="59"/>
        </w:numPr>
        <w:rPr>
          <w:rFonts w:ascii="Times New Roman"/>
          <w:szCs w:val="21"/>
        </w:rPr>
      </w:pPr>
      <w:r>
        <w:rPr>
          <w:rFonts w:hint="eastAsia" w:ascii="Times New Roman"/>
          <w:szCs w:val="21"/>
        </w:rPr>
        <w:t>散装干混砂浆应外观均匀，无结块、受潮现象；</w:t>
      </w:r>
    </w:p>
    <w:p>
      <w:pPr>
        <w:pStyle w:val="166"/>
        <w:numPr>
          <w:ilvl w:val="0"/>
          <w:numId w:val="59"/>
        </w:numPr>
        <w:rPr>
          <w:rFonts w:ascii="Times New Roman"/>
          <w:szCs w:val="21"/>
        </w:rPr>
      </w:pPr>
      <w:r>
        <w:rPr>
          <w:rFonts w:hint="eastAsia" w:ascii="Times New Roman"/>
          <w:szCs w:val="21"/>
        </w:rPr>
        <w:t>袋装干混砂浆应包装完整，无受潮现象；</w:t>
      </w:r>
    </w:p>
    <w:p>
      <w:pPr>
        <w:pStyle w:val="166"/>
        <w:numPr>
          <w:ilvl w:val="0"/>
          <w:numId w:val="59"/>
        </w:numPr>
        <w:rPr>
          <w:rFonts w:ascii="Times New Roman"/>
          <w:szCs w:val="21"/>
        </w:rPr>
      </w:pPr>
      <w:r>
        <w:rPr>
          <w:rFonts w:hint="eastAsia" w:ascii="Times New Roman"/>
          <w:szCs w:val="21"/>
        </w:rPr>
        <w:t>湿拌砂浆应外观均匀，无离析、泌水现象。</w:t>
      </w:r>
    </w:p>
    <w:p>
      <w:pPr>
        <w:pStyle w:val="166"/>
        <w:rPr>
          <w:rFonts w:ascii="Times New Roman"/>
          <w:szCs w:val="21"/>
        </w:rPr>
      </w:pPr>
      <w:r>
        <w:rPr>
          <w:rFonts w:hint="eastAsia" w:ascii="Times New Roman"/>
          <w:szCs w:val="21"/>
        </w:rPr>
        <w:t>湿拌砂浆进场时应进行稠度检验，且稠度允许偏差应符合表8的规定。</w:t>
      </w:r>
    </w:p>
    <w:p>
      <w:pPr>
        <w:pStyle w:val="166"/>
        <w:rPr>
          <w:rFonts w:ascii="Times New Roman"/>
          <w:szCs w:val="21"/>
        </w:rPr>
      </w:pPr>
      <w:r>
        <w:rPr>
          <w:rFonts w:hint="eastAsia" w:ascii="Times New Roman"/>
          <w:szCs w:val="21"/>
        </w:rPr>
        <w:t>预拌砂浆外观和稠度检验合格后，应进行进场性能复验，检验项目应符合表20的规定。</w:t>
      </w:r>
    </w:p>
    <w:p>
      <w:pPr>
        <w:pStyle w:val="166"/>
        <w:numPr>
          <w:ilvl w:val="0"/>
          <w:numId w:val="0"/>
        </w:numPr>
        <w:spacing w:before="156" w:beforeLines="50" w:after="156" w:afterLines="50"/>
        <w:jc w:val="center"/>
        <w:rPr>
          <w:rFonts w:ascii="Times New Roman" w:eastAsia="黑体"/>
          <w:szCs w:val="21"/>
        </w:rPr>
      </w:pPr>
      <w:r>
        <w:rPr>
          <w:rFonts w:hint="eastAsia" w:ascii="Times New Roman" w:eastAsia="黑体"/>
          <w:szCs w:val="21"/>
        </w:rPr>
        <w:t>表20 预拌砂浆进场检验项目</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9"/>
        <w:gridCol w:w="2425"/>
        <w:gridCol w:w="50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353" w:type="pct"/>
            <w:gridSpan w:val="2"/>
            <w:tcBorders>
              <w:top w:val="single" w:color="auto" w:sz="12" w:space="0"/>
              <w:left w:val="single" w:color="auto" w:sz="12" w:space="0"/>
              <w:bottom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砂浆品种</w:t>
            </w:r>
          </w:p>
        </w:tc>
        <w:tc>
          <w:tcPr>
            <w:tcW w:w="2647" w:type="pct"/>
            <w:tcBorders>
              <w:top w:val="single" w:color="auto" w:sz="12" w:space="0"/>
              <w:bottom w:val="single" w:color="auto" w:sz="12" w:space="0"/>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检验项目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086" w:type="pct"/>
            <w:vMerge w:val="restart"/>
            <w:tcBorders>
              <w:top w:val="single" w:color="auto" w:sz="12" w:space="0"/>
              <w:lef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干混砌筑砂浆</w:t>
            </w:r>
          </w:p>
        </w:tc>
        <w:tc>
          <w:tcPr>
            <w:tcW w:w="1267" w:type="pct"/>
            <w:tcBorders>
              <w:top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普通砌筑砂浆</w:t>
            </w:r>
          </w:p>
        </w:tc>
        <w:tc>
          <w:tcPr>
            <w:tcW w:w="2647" w:type="pct"/>
            <w:tcBorders>
              <w:top w:val="single" w:color="auto" w:sz="12" w:space="0"/>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保水率、抗压强度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086" w:type="pct"/>
            <w:vMerge w:val="continue"/>
            <w:tcBorders>
              <w:left w:val="single" w:color="auto" w:sz="12" w:space="0"/>
            </w:tcBorders>
            <w:shd w:val="clear" w:color="auto" w:fill="auto"/>
            <w:vAlign w:val="center"/>
          </w:tcPr>
          <w:p>
            <w:pPr>
              <w:spacing w:line="240" w:lineRule="auto"/>
              <w:jc w:val="center"/>
              <w:rPr>
                <w:rFonts w:ascii="Times New Roman" w:hAnsi="Times New Roman"/>
                <w:sz w:val="18"/>
                <w:szCs w:val="18"/>
              </w:rPr>
            </w:pPr>
          </w:p>
        </w:tc>
        <w:tc>
          <w:tcPr>
            <w:tcW w:w="1267"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薄层砌筑砂浆</w:t>
            </w:r>
          </w:p>
        </w:tc>
        <w:tc>
          <w:tcPr>
            <w:tcW w:w="2647" w:type="pct"/>
            <w:tcBorders>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保水率、抗压强度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086" w:type="pct"/>
            <w:vMerge w:val="restart"/>
            <w:tcBorders>
              <w:lef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干混抹灰砂浆</w:t>
            </w:r>
          </w:p>
        </w:tc>
        <w:tc>
          <w:tcPr>
            <w:tcW w:w="1267"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普通抹灰砂浆</w:t>
            </w:r>
          </w:p>
        </w:tc>
        <w:tc>
          <w:tcPr>
            <w:tcW w:w="2647" w:type="pct"/>
            <w:tcBorders>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保水率、抗压强度、拉伸粘结强度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086" w:type="pct"/>
            <w:vMerge w:val="continue"/>
            <w:tcBorders>
              <w:left w:val="single" w:color="auto" w:sz="12" w:space="0"/>
            </w:tcBorders>
            <w:shd w:val="clear" w:color="auto" w:fill="auto"/>
            <w:vAlign w:val="center"/>
          </w:tcPr>
          <w:p>
            <w:pPr>
              <w:spacing w:line="240" w:lineRule="auto"/>
              <w:jc w:val="center"/>
              <w:rPr>
                <w:rFonts w:ascii="Times New Roman" w:hAnsi="Times New Roman"/>
                <w:sz w:val="18"/>
                <w:szCs w:val="18"/>
              </w:rPr>
            </w:pPr>
          </w:p>
        </w:tc>
        <w:tc>
          <w:tcPr>
            <w:tcW w:w="1267"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薄层抹灰砂浆</w:t>
            </w:r>
          </w:p>
        </w:tc>
        <w:tc>
          <w:tcPr>
            <w:tcW w:w="2647" w:type="pct"/>
            <w:tcBorders>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保水率、抗压强度、拉伸粘结强度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086" w:type="pct"/>
            <w:vMerge w:val="continue"/>
            <w:tcBorders>
              <w:left w:val="single" w:color="auto" w:sz="12" w:space="0"/>
            </w:tcBorders>
            <w:shd w:val="clear" w:color="auto" w:fill="auto"/>
            <w:vAlign w:val="center"/>
          </w:tcPr>
          <w:p>
            <w:pPr>
              <w:spacing w:line="240" w:lineRule="auto"/>
              <w:jc w:val="center"/>
              <w:rPr>
                <w:rFonts w:ascii="Times New Roman" w:hAnsi="Times New Roman"/>
                <w:sz w:val="18"/>
                <w:szCs w:val="18"/>
              </w:rPr>
            </w:pPr>
          </w:p>
        </w:tc>
        <w:tc>
          <w:tcPr>
            <w:tcW w:w="1267"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机喷抹灰砂浆</w:t>
            </w:r>
          </w:p>
        </w:tc>
        <w:tc>
          <w:tcPr>
            <w:tcW w:w="2647" w:type="pct"/>
            <w:tcBorders>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保水率、压力泌水率、抗压强度、拉伸粘结强度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353" w:type="pct"/>
            <w:gridSpan w:val="2"/>
            <w:tcBorders>
              <w:lef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干混地面砂浆</w:t>
            </w:r>
          </w:p>
        </w:tc>
        <w:tc>
          <w:tcPr>
            <w:tcW w:w="2647" w:type="pct"/>
            <w:tcBorders>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保水率、抗压强度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353" w:type="pct"/>
            <w:gridSpan w:val="2"/>
            <w:tcBorders>
              <w:lef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干混普通防水砂浆</w:t>
            </w:r>
          </w:p>
        </w:tc>
        <w:tc>
          <w:tcPr>
            <w:tcW w:w="2647" w:type="pct"/>
            <w:tcBorders>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保水率、抗压强度、拉伸粘结强度、抗渗压力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353" w:type="pct"/>
            <w:gridSpan w:val="2"/>
            <w:tcBorders>
              <w:lef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湿拌砌筑砂浆</w:t>
            </w:r>
          </w:p>
        </w:tc>
        <w:tc>
          <w:tcPr>
            <w:tcW w:w="2647" w:type="pct"/>
            <w:tcBorders>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稠度、保水率、抗压强度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086" w:type="pct"/>
            <w:vMerge w:val="restart"/>
            <w:tcBorders>
              <w:lef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湿拌抹灰砂浆</w:t>
            </w:r>
          </w:p>
        </w:tc>
        <w:tc>
          <w:tcPr>
            <w:tcW w:w="1267"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普通抹灰砂浆</w:t>
            </w:r>
          </w:p>
        </w:tc>
        <w:tc>
          <w:tcPr>
            <w:tcW w:w="2647" w:type="pct"/>
            <w:tcBorders>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稠度、保水率、抗压强度、拉伸粘结强度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086" w:type="pct"/>
            <w:vMerge w:val="continue"/>
            <w:tcBorders>
              <w:left w:val="single" w:color="auto" w:sz="12" w:space="0"/>
            </w:tcBorders>
            <w:shd w:val="clear" w:color="auto" w:fill="auto"/>
            <w:vAlign w:val="center"/>
          </w:tcPr>
          <w:p>
            <w:pPr>
              <w:spacing w:line="240" w:lineRule="auto"/>
              <w:jc w:val="center"/>
              <w:rPr>
                <w:rFonts w:ascii="Times New Roman" w:hAnsi="Times New Roman"/>
                <w:sz w:val="18"/>
                <w:szCs w:val="18"/>
              </w:rPr>
            </w:pPr>
          </w:p>
        </w:tc>
        <w:tc>
          <w:tcPr>
            <w:tcW w:w="1267" w:type="pct"/>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机喷抹灰砂浆</w:t>
            </w:r>
          </w:p>
        </w:tc>
        <w:tc>
          <w:tcPr>
            <w:tcW w:w="2647" w:type="pct"/>
            <w:tcBorders>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稠度、保水率、压力泌水率、抗压强度、拉伸粘结强度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353" w:type="pct"/>
            <w:gridSpan w:val="2"/>
            <w:tcBorders>
              <w:left w:val="single" w:color="auto" w:sz="12" w:space="0"/>
              <w:bottom w:val="single" w:color="000000" w:sz="4"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湿拌地面砂浆</w:t>
            </w:r>
          </w:p>
        </w:tc>
        <w:tc>
          <w:tcPr>
            <w:tcW w:w="2647" w:type="pct"/>
            <w:tcBorders>
              <w:bottom w:val="single" w:color="000000" w:sz="4" w:space="0"/>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稠度、保水率、抗压强度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353" w:type="pct"/>
            <w:gridSpan w:val="2"/>
            <w:tcBorders>
              <w:left w:val="single" w:color="auto" w:sz="12" w:space="0"/>
              <w:bottom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湿拌防水砂浆</w:t>
            </w:r>
          </w:p>
        </w:tc>
        <w:tc>
          <w:tcPr>
            <w:tcW w:w="2647" w:type="pct"/>
            <w:tcBorders>
              <w:bottom w:val="single" w:color="auto" w:sz="12" w:space="0"/>
              <w:right w:val="single" w:color="auto" w:sz="12"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稠度、保水率、抗压强度、拉伸粘结强度、抗渗压力</w:t>
            </w:r>
          </w:p>
        </w:tc>
      </w:tr>
    </w:tbl>
    <w:p>
      <w:pPr>
        <w:pStyle w:val="166"/>
        <w:spacing w:before="312" w:beforeLines="100"/>
        <w:rPr>
          <w:rFonts w:ascii="Times New Roman"/>
          <w:szCs w:val="21"/>
        </w:rPr>
      </w:pPr>
      <w:r>
        <w:rPr>
          <w:rFonts w:hint="eastAsia" w:ascii="Times New Roman"/>
          <w:szCs w:val="21"/>
        </w:rPr>
        <w:t>干混砂浆的</w:t>
      </w:r>
      <w:r>
        <w:rPr>
          <w:rFonts w:ascii="Times New Roman"/>
          <w:szCs w:val="21"/>
        </w:rPr>
        <w:t>现场取样应符合下列规定：</w:t>
      </w:r>
    </w:p>
    <w:p>
      <w:pPr>
        <w:pStyle w:val="166"/>
        <w:numPr>
          <w:ilvl w:val="0"/>
          <w:numId w:val="60"/>
        </w:numPr>
        <w:rPr>
          <w:rFonts w:ascii="Times New Roman"/>
          <w:szCs w:val="21"/>
        </w:rPr>
      </w:pPr>
      <w:r>
        <w:rPr>
          <w:rFonts w:ascii="Times New Roman"/>
          <w:szCs w:val="21"/>
        </w:rPr>
        <w:t>散装干混砂浆宜在卸料过程中卸料量约1/4至3/4之间取样；或者宜在干混砂浆罐内随机均匀采集20个点样组成混合样</w:t>
      </w:r>
      <w:r>
        <w:rPr>
          <w:rFonts w:hint="eastAsia" w:ascii="Times New Roman"/>
          <w:szCs w:val="21"/>
        </w:rPr>
        <w:t>；</w:t>
      </w:r>
    </w:p>
    <w:p>
      <w:pPr>
        <w:pStyle w:val="166"/>
        <w:numPr>
          <w:ilvl w:val="0"/>
          <w:numId w:val="60"/>
        </w:numPr>
        <w:rPr>
          <w:rFonts w:ascii="Times New Roman"/>
          <w:szCs w:val="21"/>
        </w:rPr>
      </w:pPr>
      <w:r>
        <w:rPr>
          <w:rFonts w:ascii="Times New Roman"/>
          <w:szCs w:val="21"/>
        </w:rPr>
        <w:t>袋装干混砂浆宜随机在20包样品中均匀取样，组成混合样</w:t>
      </w:r>
      <w:r>
        <w:rPr>
          <w:rFonts w:hint="eastAsia" w:ascii="Times New Roman"/>
          <w:szCs w:val="21"/>
        </w:rPr>
        <w:t>；</w:t>
      </w:r>
    </w:p>
    <w:p>
      <w:pPr>
        <w:pStyle w:val="166"/>
        <w:numPr>
          <w:ilvl w:val="0"/>
          <w:numId w:val="60"/>
        </w:numPr>
        <w:rPr>
          <w:rFonts w:ascii="Times New Roman"/>
          <w:szCs w:val="21"/>
        </w:rPr>
      </w:pPr>
      <w:r>
        <w:rPr>
          <w:rFonts w:ascii="Times New Roman"/>
          <w:szCs w:val="21"/>
        </w:rPr>
        <w:t>干混砂浆</w:t>
      </w:r>
      <w:r>
        <w:rPr>
          <w:rFonts w:hint="eastAsia" w:ascii="Times New Roman"/>
          <w:szCs w:val="21"/>
        </w:rPr>
        <w:t>取样的总</w:t>
      </w:r>
      <w:r>
        <w:rPr>
          <w:rFonts w:ascii="Times New Roman"/>
          <w:szCs w:val="21"/>
        </w:rPr>
        <w:t>量</w:t>
      </w:r>
      <w:r>
        <w:rPr>
          <w:rFonts w:hint="eastAsia" w:ascii="Times New Roman"/>
          <w:szCs w:val="21"/>
        </w:rPr>
        <w:t>不宜少于试验</w:t>
      </w:r>
      <w:r>
        <w:rPr>
          <w:rFonts w:ascii="Times New Roman"/>
          <w:szCs w:val="21"/>
        </w:rPr>
        <w:t>用量的3倍且不少于20kg</w:t>
      </w:r>
      <w:r>
        <w:rPr>
          <w:rFonts w:hint="eastAsia" w:ascii="Times New Roman"/>
          <w:szCs w:val="21"/>
        </w:rPr>
        <w:t>。</w:t>
      </w:r>
    </w:p>
    <w:p>
      <w:pPr>
        <w:pStyle w:val="166"/>
        <w:rPr>
          <w:rFonts w:ascii="Times New Roman"/>
          <w:szCs w:val="21"/>
        </w:rPr>
      </w:pPr>
      <w:r>
        <w:rPr>
          <w:rFonts w:hint="eastAsia" w:ascii="Times New Roman"/>
          <w:szCs w:val="21"/>
        </w:rPr>
        <w:t>湿拌砂浆的</w:t>
      </w:r>
      <w:r>
        <w:rPr>
          <w:rFonts w:ascii="Times New Roman"/>
          <w:szCs w:val="21"/>
        </w:rPr>
        <w:t>现场取样</w:t>
      </w:r>
      <w:r>
        <w:rPr>
          <w:rFonts w:hint="eastAsia" w:ascii="Times New Roman"/>
          <w:szCs w:val="21"/>
        </w:rPr>
        <w:t>和试验</w:t>
      </w:r>
      <w:r>
        <w:rPr>
          <w:rFonts w:ascii="Times New Roman"/>
          <w:szCs w:val="21"/>
        </w:rPr>
        <w:t>应符合下列规定：</w:t>
      </w:r>
    </w:p>
    <w:p>
      <w:pPr>
        <w:pStyle w:val="166"/>
        <w:numPr>
          <w:ilvl w:val="0"/>
          <w:numId w:val="61"/>
        </w:numPr>
        <w:rPr>
          <w:rFonts w:ascii="Times New Roman"/>
          <w:szCs w:val="21"/>
        </w:rPr>
      </w:pPr>
      <w:r>
        <w:rPr>
          <w:rFonts w:ascii="Times New Roman"/>
          <w:szCs w:val="21"/>
        </w:rPr>
        <w:t>湿拌砂浆</w:t>
      </w:r>
      <w:r>
        <w:rPr>
          <w:rFonts w:hint="eastAsia" w:ascii="Times New Roman"/>
          <w:szCs w:val="21"/>
        </w:rPr>
        <w:t>应在交货地点</w:t>
      </w:r>
      <w:r>
        <w:rPr>
          <w:rFonts w:ascii="Times New Roman"/>
          <w:szCs w:val="21"/>
        </w:rPr>
        <w:t>随机取样</w:t>
      </w:r>
      <w:r>
        <w:rPr>
          <w:rFonts w:hint="eastAsia" w:ascii="Times New Roman"/>
          <w:szCs w:val="21"/>
        </w:rPr>
        <w:t>。当从运输车中取样时，应在卸料过程中卸料量约1</w:t>
      </w:r>
      <w:r>
        <w:rPr>
          <w:rFonts w:ascii="Times New Roman"/>
          <w:szCs w:val="21"/>
        </w:rPr>
        <w:t>/4</w:t>
      </w:r>
      <w:r>
        <w:rPr>
          <w:rFonts w:hint="eastAsia" w:ascii="Times New Roman"/>
          <w:szCs w:val="21"/>
        </w:rPr>
        <w:t>至</w:t>
      </w:r>
      <w:r>
        <w:rPr>
          <w:rFonts w:ascii="Times New Roman"/>
          <w:szCs w:val="21"/>
        </w:rPr>
        <w:t>3/4</w:t>
      </w:r>
      <w:r>
        <w:rPr>
          <w:rFonts w:hint="eastAsia" w:ascii="Times New Roman"/>
          <w:szCs w:val="21"/>
        </w:rPr>
        <w:t>之间取样，且应从同一运输车中取样；</w:t>
      </w:r>
    </w:p>
    <w:p>
      <w:pPr>
        <w:pStyle w:val="166"/>
        <w:numPr>
          <w:ilvl w:val="0"/>
          <w:numId w:val="61"/>
        </w:numPr>
        <w:rPr>
          <w:rFonts w:ascii="Times New Roman"/>
          <w:szCs w:val="21"/>
        </w:rPr>
      </w:pPr>
      <w:r>
        <w:rPr>
          <w:rFonts w:hint="eastAsia" w:ascii="Times New Roman"/>
          <w:szCs w:val="21"/>
        </w:rPr>
        <w:t>稠度、保水率、压力泌水率试验应在湿拌砂浆运到交货地点时开始算起2</w:t>
      </w:r>
      <w:r>
        <w:rPr>
          <w:rFonts w:ascii="Times New Roman"/>
          <w:szCs w:val="21"/>
        </w:rPr>
        <w:t>0</w:t>
      </w:r>
      <w:r>
        <w:rPr>
          <w:rFonts w:hint="eastAsia" w:ascii="Times New Roman"/>
          <w:szCs w:val="21"/>
        </w:rPr>
        <w:t>min内完成，其他性能试验用取样和试块制作应在3</w:t>
      </w:r>
      <w:r>
        <w:rPr>
          <w:rFonts w:ascii="Times New Roman"/>
          <w:szCs w:val="21"/>
        </w:rPr>
        <w:t>0</w:t>
      </w:r>
      <w:r>
        <w:rPr>
          <w:rFonts w:hint="eastAsia" w:ascii="Times New Roman"/>
          <w:szCs w:val="21"/>
        </w:rPr>
        <w:t>min内完成；</w:t>
      </w:r>
    </w:p>
    <w:p>
      <w:pPr>
        <w:pStyle w:val="166"/>
        <w:numPr>
          <w:ilvl w:val="0"/>
          <w:numId w:val="61"/>
        </w:numPr>
        <w:rPr>
          <w:rFonts w:ascii="Times New Roman"/>
          <w:szCs w:val="21"/>
        </w:rPr>
      </w:pPr>
      <w:r>
        <w:rPr>
          <w:rFonts w:hint="eastAsia" w:ascii="Times New Roman"/>
          <w:szCs w:val="21"/>
        </w:rPr>
        <w:t>试样取样的总量不宜少于试验用量的3倍。</w:t>
      </w:r>
    </w:p>
    <w:p>
      <w:pPr>
        <w:pStyle w:val="166"/>
        <w:rPr>
          <w:rFonts w:ascii="Times New Roman"/>
          <w:szCs w:val="21"/>
        </w:rPr>
      </w:pPr>
      <w:r>
        <w:rPr>
          <w:rFonts w:ascii="Times New Roman"/>
          <w:szCs w:val="21"/>
        </w:rPr>
        <w:t>抗压强度</w:t>
      </w:r>
      <w:r>
        <w:rPr>
          <w:rFonts w:hint="eastAsia" w:ascii="Times New Roman"/>
          <w:szCs w:val="21"/>
        </w:rPr>
        <w:t>、抗渗压力、拉伸粘结强度</w:t>
      </w:r>
      <w:r>
        <w:rPr>
          <w:rFonts w:ascii="Times New Roman"/>
          <w:szCs w:val="21"/>
        </w:rPr>
        <w:t>试块的制作、养护等应符合JGJ/T 70的规定</w:t>
      </w:r>
      <w:r>
        <w:rPr>
          <w:rFonts w:hint="eastAsia" w:ascii="Times New Roman"/>
          <w:szCs w:val="21"/>
        </w:rPr>
        <w:t>，抗压强度、抗渗压力试块的龄期应为2</w:t>
      </w:r>
      <w:r>
        <w:rPr>
          <w:rFonts w:ascii="Times New Roman"/>
          <w:szCs w:val="21"/>
        </w:rPr>
        <w:t>8</w:t>
      </w:r>
      <w:r>
        <w:rPr>
          <w:rFonts w:hint="eastAsia" w:ascii="Times New Roman"/>
          <w:szCs w:val="21"/>
        </w:rPr>
        <w:t>d，拉伸粘结强度试块的龄期应为14d。</w:t>
      </w:r>
    </w:p>
    <w:p>
      <w:pPr>
        <w:pStyle w:val="106"/>
        <w:spacing w:before="156" w:after="156"/>
      </w:pPr>
      <w:r>
        <w:rPr>
          <w:rFonts w:hint="eastAsia"/>
        </w:rPr>
        <w:t>砌筑砂浆工程</w:t>
      </w:r>
    </w:p>
    <w:p>
      <w:pPr>
        <w:pStyle w:val="166"/>
        <w:rPr>
          <w:rFonts w:ascii="Times New Roman"/>
          <w:szCs w:val="21"/>
        </w:rPr>
      </w:pPr>
      <w:r>
        <w:rPr>
          <w:rFonts w:ascii="Times New Roman"/>
          <w:szCs w:val="21"/>
        </w:rPr>
        <w:t xml:space="preserve">砌筑砂浆拌合物检验批划分应符合下列规定： </w:t>
      </w:r>
    </w:p>
    <w:p>
      <w:pPr>
        <w:pStyle w:val="166"/>
        <w:numPr>
          <w:ilvl w:val="0"/>
          <w:numId w:val="62"/>
        </w:numPr>
        <w:rPr>
          <w:rFonts w:ascii="Times New Roman"/>
          <w:szCs w:val="21"/>
        </w:rPr>
      </w:pPr>
      <w:r>
        <w:rPr>
          <w:rFonts w:ascii="Times New Roman"/>
          <w:szCs w:val="21"/>
        </w:rPr>
        <w:t>同品种、同强度等级、同批号进场的干混砌筑砂浆，每100t为一批，不足100t时，按</w:t>
      </w:r>
      <w:r>
        <w:rPr>
          <w:rFonts w:hint="eastAsia" w:ascii="Times New Roman"/>
          <w:szCs w:val="21"/>
        </w:rPr>
        <w:t>一个检验批</w:t>
      </w:r>
      <w:r>
        <w:rPr>
          <w:rFonts w:ascii="Times New Roman"/>
          <w:szCs w:val="21"/>
        </w:rPr>
        <w:t>计</w:t>
      </w:r>
      <w:r>
        <w:rPr>
          <w:rFonts w:hint="eastAsia" w:ascii="Times New Roman"/>
          <w:szCs w:val="21"/>
        </w:rPr>
        <w:t>；</w:t>
      </w:r>
      <w:r>
        <w:rPr>
          <w:rFonts w:ascii="Times New Roman"/>
          <w:szCs w:val="21"/>
        </w:rPr>
        <w:t xml:space="preserve"> </w:t>
      </w:r>
    </w:p>
    <w:p>
      <w:pPr>
        <w:pStyle w:val="166"/>
        <w:numPr>
          <w:ilvl w:val="0"/>
          <w:numId w:val="62"/>
        </w:numPr>
        <w:rPr>
          <w:rFonts w:ascii="Times New Roman"/>
          <w:szCs w:val="21"/>
        </w:rPr>
      </w:pPr>
      <w:r>
        <w:rPr>
          <w:rFonts w:ascii="Times New Roman"/>
          <w:szCs w:val="21"/>
        </w:rPr>
        <w:t>同品种、同强度等级的湿拌砌筑砂浆，每50m</w:t>
      </w:r>
      <w:r>
        <w:rPr>
          <w:rFonts w:ascii="Times New Roman"/>
          <w:szCs w:val="21"/>
          <w:vertAlign w:val="superscript"/>
        </w:rPr>
        <w:t>3</w:t>
      </w:r>
      <w:r>
        <w:rPr>
          <w:rFonts w:ascii="Times New Roman"/>
          <w:szCs w:val="21"/>
        </w:rPr>
        <w:t>为一批，不足50m</w:t>
      </w:r>
      <w:r>
        <w:rPr>
          <w:rFonts w:ascii="Times New Roman"/>
          <w:szCs w:val="21"/>
          <w:vertAlign w:val="superscript"/>
        </w:rPr>
        <w:t>3</w:t>
      </w:r>
      <w:r>
        <w:rPr>
          <w:rFonts w:ascii="Times New Roman"/>
          <w:szCs w:val="21"/>
        </w:rPr>
        <w:t>时，按</w:t>
      </w:r>
      <w:r>
        <w:rPr>
          <w:rFonts w:hint="eastAsia" w:ascii="Times New Roman"/>
          <w:szCs w:val="21"/>
        </w:rPr>
        <w:t>一个检验批</w:t>
      </w:r>
      <w:r>
        <w:rPr>
          <w:rFonts w:ascii="Times New Roman"/>
          <w:szCs w:val="21"/>
        </w:rPr>
        <w:t>计。</w:t>
      </w:r>
    </w:p>
    <w:p>
      <w:pPr>
        <w:pStyle w:val="166"/>
        <w:rPr>
          <w:rFonts w:ascii="Times New Roman"/>
          <w:szCs w:val="21"/>
        </w:rPr>
      </w:pPr>
      <w:r>
        <w:rPr>
          <w:rFonts w:ascii="Times New Roman"/>
          <w:szCs w:val="21"/>
        </w:rPr>
        <w:t>每检验批应留置不少于</w:t>
      </w:r>
      <w:r>
        <w:rPr>
          <w:rFonts w:hint="eastAsia" w:ascii="Times New Roman"/>
          <w:szCs w:val="21"/>
        </w:rPr>
        <w:t>1</w:t>
      </w:r>
      <w:r>
        <w:rPr>
          <w:rFonts w:ascii="Times New Roman"/>
          <w:szCs w:val="21"/>
        </w:rPr>
        <w:t>组抗压强度试块</w:t>
      </w:r>
      <w:r>
        <w:rPr>
          <w:rFonts w:hint="eastAsia" w:ascii="Times New Roman"/>
          <w:szCs w:val="21"/>
        </w:rPr>
        <w:t>；</w:t>
      </w:r>
      <w:r>
        <w:rPr>
          <w:rFonts w:ascii="Times New Roman"/>
          <w:szCs w:val="21"/>
        </w:rPr>
        <w:t>对于建筑结构安全等级为一级或设计</w:t>
      </w:r>
      <w:r>
        <w:rPr>
          <w:rFonts w:hint="eastAsia" w:ascii="Times New Roman"/>
          <w:szCs w:val="21"/>
        </w:rPr>
        <w:t>工作</w:t>
      </w:r>
      <w:r>
        <w:rPr>
          <w:rFonts w:ascii="Times New Roman"/>
          <w:szCs w:val="21"/>
        </w:rPr>
        <w:t>年限为50年及以上的</w:t>
      </w:r>
      <w:r>
        <w:rPr>
          <w:rFonts w:hint="eastAsia" w:ascii="Times New Roman"/>
          <w:szCs w:val="21"/>
        </w:rPr>
        <w:t>建筑物</w:t>
      </w:r>
      <w:r>
        <w:rPr>
          <w:rFonts w:ascii="Times New Roman"/>
          <w:szCs w:val="21"/>
        </w:rPr>
        <w:t>，同一验收批砂浆</w:t>
      </w:r>
      <w:r>
        <w:rPr>
          <w:rFonts w:hint="eastAsia" w:ascii="Times New Roman"/>
          <w:szCs w:val="21"/>
        </w:rPr>
        <w:t>抗压强度</w:t>
      </w:r>
      <w:r>
        <w:rPr>
          <w:rFonts w:ascii="Times New Roman"/>
          <w:szCs w:val="21"/>
        </w:rPr>
        <w:t>试块的数量不得少于3组</w:t>
      </w:r>
      <w:r>
        <w:rPr>
          <w:rFonts w:hint="eastAsia" w:ascii="Times New Roman"/>
          <w:szCs w:val="21"/>
        </w:rPr>
        <w:t>。</w:t>
      </w:r>
    </w:p>
    <w:p>
      <w:pPr>
        <w:pStyle w:val="166"/>
        <w:rPr>
          <w:rFonts w:ascii="Times New Roman"/>
          <w:szCs w:val="21"/>
        </w:rPr>
      </w:pPr>
      <w:r>
        <w:rPr>
          <w:rFonts w:ascii="Times New Roman"/>
          <w:szCs w:val="21"/>
        </w:rPr>
        <w:t xml:space="preserve">砌筑砂浆抗压强度试块应按验收批进行评定，其合格条件应符合下列规定： </w:t>
      </w:r>
    </w:p>
    <w:p>
      <w:pPr>
        <w:pStyle w:val="166"/>
        <w:numPr>
          <w:ilvl w:val="0"/>
          <w:numId w:val="63"/>
        </w:numPr>
        <w:rPr>
          <w:rFonts w:ascii="Times New Roman"/>
          <w:szCs w:val="21"/>
        </w:rPr>
      </w:pPr>
      <w:r>
        <w:rPr>
          <w:rFonts w:ascii="Times New Roman"/>
          <w:szCs w:val="21"/>
        </w:rPr>
        <w:t>同一验收批砌筑砂浆试块抗压强度平均值应不小于设计强度等级所对应的立方体抗压强度的</w:t>
      </w:r>
      <w:r>
        <w:rPr>
          <w:rFonts w:hint="eastAsia" w:ascii="Times New Roman"/>
          <w:szCs w:val="21"/>
        </w:rPr>
        <w:t>1.10倍</w:t>
      </w:r>
      <w:r>
        <w:rPr>
          <w:rFonts w:ascii="Times New Roman"/>
          <w:szCs w:val="21"/>
        </w:rPr>
        <w:t>，且最小值应不小于设计强度等级所对应的立方体抗压强度的</w:t>
      </w:r>
      <w:r>
        <w:rPr>
          <w:rFonts w:hint="eastAsia" w:ascii="Times New Roman"/>
          <w:szCs w:val="21"/>
        </w:rPr>
        <w:t>0.85倍；</w:t>
      </w:r>
      <w:r>
        <w:rPr>
          <w:rFonts w:ascii="Times New Roman"/>
          <w:szCs w:val="21"/>
        </w:rPr>
        <w:t xml:space="preserve"> </w:t>
      </w:r>
    </w:p>
    <w:p>
      <w:pPr>
        <w:pStyle w:val="166"/>
        <w:numPr>
          <w:ilvl w:val="0"/>
          <w:numId w:val="63"/>
        </w:numPr>
        <w:rPr>
          <w:rFonts w:ascii="Times New Roman"/>
          <w:szCs w:val="21"/>
        </w:rPr>
      </w:pPr>
      <w:r>
        <w:rPr>
          <w:rFonts w:ascii="Times New Roman"/>
          <w:szCs w:val="21"/>
        </w:rPr>
        <w:t>当同一验收批砌筑砂浆抗压强度试块少于3组时，每组试块抗压强度值应不小于设计强度等级所对应的立方体抗压强度的1.10倍。</w:t>
      </w:r>
    </w:p>
    <w:p>
      <w:pPr>
        <w:pStyle w:val="166"/>
        <w:rPr>
          <w:rFonts w:ascii="Times New Roman"/>
          <w:szCs w:val="21"/>
        </w:rPr>
      </w:pPr>
      <w:r>
        <w:rPr>
          <w:rFonts w:ascii="Times New Roman"/>
          <w:szCs w:val="21"/>
        </w:rPr>
        <w:t>砌筑砂浆施工中或验收时出现下列情况，可委托检验单位按GB/T 50315或JGJ/T 136进行</w:t>
      </w:r>
      <w:r>
        <w:rPr>
          <w:rFonts w:hint="eastAsia" w:ascii="Times New Roman"/>
          <w:szCs w:val="21"/>
        </w:rPr>
        <w:t>现场</w:t>
      </w:r>
      <w:r>
        <w:rPr>
          <w:rFonts w:ascii="Times New Roman"/>
          <w:szCs w:val="21"/>
        </w:rPr>
        <w:t>检测，并判定</w:t>
      </w:r>
      <w:r>
        <w:rPr>
          <w:rFonts w:hint="eastAsia" w:ascii="Times New Roman"/>
          <w:szCs w:val="21"/>
        </w:rPr>
        <w:t>砌筑砂浆抗压</w:t>
      </w:r>
      <w:r>
        <w:rPr>
          <w:rFonts w:ascii="Times New Roman"/>
          <w:szCs w:val="21"/>
        </w:rPr>
        <w:t xml:space="preserve">强度： </w:t>
      </w:r>
    </w:p>
    <w:p>
      <w:pPr>
        <w:pStyle w:val="166"/>
        <w:numPr>
          <w:ilvl w:val="0"/>
          <w:numId w:val="64"/>
        </w:numPr>
        <w:rPr>
          <w:rFonts w:ascii="Times New Roman"/>
          <w:szCs w:val="21"/>
        </w:rPr>
      </w:pPr>
      <w:r>
        <w:rPr>
          <w:rFonts w:ascii="Times New Roman"/>
          <w:szCs w:val="21"/>
        </w:rPr>
        <w:t xml:space="preserve">砂浆试块缺乏代表性或试块数量不足； </w:t>
      </w:r>
    </w:p>
    <w:p>
      <w:pPr>
        <w:pStyle w:val="166"/>
        <w:numPr>
          <w:ilvl w:val="0"/>
          <w:numId w:val="64"/>
        </w:numPr>
        <w:rPr>
          <w:rFonts w:ascii="Times New Roman"/>
          <w:szCs w:val="21"/>
        </w:rPr>
      </w:pPr>
      <w:r>
        <w:rPr>
          <w:rFonts w:ascii="Times New Roman"/>
          <w:szCs w:val="21"/>
        </w:rPr>
        <w:t xml:space="preserve">对砂浆试块的试验结果有怀疑或有争议； </w:t>
      </w:r>
    </w:p>
    <w:p>
      <w:pPr>
        <w:pStyle w:val="166"/>
        <w:numPr>
          <w:ilvl w:val="0"/>
          <w:numId w:val="64"/>
        </w:numPr>
        <w:rPr>
          <w:rFonts w:ascii="Times New Roman"/>
          <w:szCs w:val="21"/>
        </w:rPr>
      </w:pPr>
      <w:r>
        <w:rPr>
          <w:rFonts w:ascii="Times New Roman"/>
          <w:szCs w:val="21"/>
        </w:rPr>
        <w:t xml:space="preserve">砂浆试块的试验结果不能满足设计要求； </w:t>
      </w:r>
    </w:p>
    <w:p>
      <w:pPr>
        <w:pStyle w:val="166"/>
        <w:numPr>
          <w:ilvl w:val="0"/>
          <w:numId w:val="64"/>
        </w:numPr>
        <w:rPr>
          <w:rFonts w:ascii="Times New Roman"/>
          <w:szCs w:val="21"/>
        </w:rPr>
      </w:pPr>
      <w:r>
        <w:rPr>
          <w:rFonts w:ascii="Times New Roman"/>
          <w:szCs w:val="21"/>
        </w:rPr>
        <w:t>发生工程事故，需要进一步分析事故原因。</w:t>
      </w:r>
    </w:p>
    <w:p>
      <w:pPr>
        <w:pStyle w:val="166"/>
        <w:rPr>
          <w:rFonts w:ascii="Times New Roman"/>
          <w:szCs w:val="21"/>
        </w:rPr>
      </w:pPr>
      <w:r>
        <w:rPr>
          <w:rFonts w:ascii="Times New Roman"/>
          <w:szCs w:val="21"/>
        </w:rPr>
        <w:t>砌筑砂浆工程施工质量验收尚应符合GB 50203的规定。</w:t>
      </w:r>
    </w:p>
    <w:p>
      <w:pPr>
        <w:pStyle w:val="106"/>
        <w:spacing w:before="156" w:after="156"/>
      </w:pPr>
      <w:r>
        <w:rPr>
          <w:rFonts w:hint="eastAsia"/>
        </w:rPr>
        <w:t>抹灰砂浆工程</w:t>
      </w:r>
    </w:p>
    <w:p>
      <w:pPr>
        <w:pStyle w:val="166"/>
        <w:rPr>
          <w:rFonts w:ascii="Times New Roman"/>
          <w:szCs w:val="21"/>
        </w:rPr>
      </w:pPr>
      <w:r>
        <w:rPr>
          <w:rFonts w:ascii="Times New Roman"/>
          <w:szCs w:val="21"/>
        </w:rPr>
        <w:t>抹灰工程</w:t>
      </w:r>
      <w:r>
        <w:rPr>
          <w:rFonts w:hint="eastAsia" w:ascii="Times New Roman"/>
          <w:szCs w:val="21"/>
        </w:rPr>
        <w:t>验收前，</w:t>
      </w:r>
      <w:r>
        <w:rPr>
          <w:rFonts w:ascii="Times New Roman"/>
          <w:szCs w:val="21"/>
        </w:rPr>
        <w:t>检验批的划分应符合下列规定：</w:t>
      </w:r>
    </w:p>
    <w:p>
      <w:pPr>
        <w:pStyle w:val="166"/>
        <w:numPr>
          <w:ilvl w:val="0"/>
          <w:numId w:val="65"/>
        </w:numPr>
        <w:rPr>
          <w:rFonts w:ascii="Times New Roman"/>
          <w:szCs w:val="21"/>
        </w:rPr>
      </w:pPr>
      <w:r>
        <w:rPr>
          <w:rFonts w:ascii="Times New Roman"/>
          <w:szCs w:val="21"/>
        </w:rPr>
        <w:t>相同材料、工艺和施工条件的</w:t>
      </w:r>
      <w:r>
        <w:rPr>
          <w:rFonts w:hint="eastAsia" w:ascii="Times New Roman"/>
          <w:szCs w:val="21"/>
        </w:rPr>
        <w:t>室外抹灰</w:t>
      </w:r>
      <w:r>
        <w:rPr>
          <w:rFonts w:ascii="Times New Roman"/>
          <w:szCs w:val="21"/>
        </w:rPr>
        <w:t>工程，每1000m</w:t>
      </w:r>
      <w:r>
        <w:rPr>
          <w:rFonts w:ascii="Times New Roman"/>
          <w:szCs w:val="21"/>
          <w:vertAlign w:val="superscript"/>
        </w:rPr>
        <w:t>2</w:t>
      </w:r>
      <w:r>
        <w:rPr>
          <w:rFonts w:ascii="Times New Roman"/>
          <w:szCs w:val="21"/>
        </w:rPr>
        <w:t>应划分为一个检验批；不足1000m</w:t>
      </w:r>
      <w:r>
        <w:rPr>
          <w:rFonts w:ascii="Times New Roman"/>
          <w:szCs w:val="21"/>
          <w:vertAlign w:val="superscript"/>
        </w:rPr>
        <w:t>2</w:t>
      </w:r>
      <w:r>
        <w:rPr>
          <w:rFonts w:ascii="Times New Roman"/>
          <w:szCs w:val="21"/>
        </w:rPr>
        <w:t>时，应按一批计</w:t>
      </w:r>
      <w:r>
        <w:rPr>
          <w:rFonts w:hint="eastAsia" w:ascii="Times New Roman"/>
          <w:szCs w:val="21"/>
        </w:rPr>
        <w:t>；</w:t>
      </w:r>
    </w:p>
    <w:p>
      <w:pPr>
        <w:pStyle w:val="166"/>
        <w:numPr>
          <w:ilvl w:val="0"/>
          <w:numId w:val="65"/>
        </w:numPr>
        <w:rPr>
          <w:rFonts w:ascii="Times New Roman"/>
          <w:szCs w:val="21"/>
        </w:rPr>
      </w:pPr>
      <w:r>
        <w:rPr>
          <w:rFonts w:ascii="Times New Roman"/>
          <w:szCs w:val="21"/>
        </w:rPr>
        <w:t>相同材料、工艺和施工条件的</w:t>
      </w:r>
      <w:r>
        <w:rPr>
          <w:rFonts w:hint="eastAsia" w:ascii="Times New Roman"/>
          <w:szCs w:val="21"/>
        </w:rPr>
        <w:t>室内</w:t>
      </w:r>
      <w:r>
        <w:rPr>
          <w:rFonts w:ascii="Times New Roman"/>
          <w:szCs w:val="21"/>
        </w:rPr>
        <w:t>抹灰工程，每50个自然间应划分为一个检验批</w:t>
      </w:r>
      <w:r>
        <w:rPr>
          <w:rFonts w:hint="eastAsia" w:ascii="Times New Roman"/>
          <w:szCs w:val="21"/>
        </w:rPr>
        <w:t>，</w:t>
      </w:r>
      <w:r>
        <w:rPr>
          <w:rFonts w:ascii="Times New Roman"/>
          <w:szCs w:val="21"/>
        </w:rPr>
        <w:t>大面积房间和走廊按抹灰面积30m</w:t>
      </w:r>
      <w:r>
        <w:rPr>
          <w:rFonts w:ascii="Times New Roman"/>
          <w:szCs w:val="21"/>
          <w:vertAlign w:val="superscript"/>
        </w:rPr>
        <w:t>2</w:t>
      </w:r>
      <w:r>
        <w:rPr>
          <w:rFonts w:ascii="Times New Roman"/>
          <w:szCs w:val="21"/>
        </w:rPr>
        <w:t>为一间；不足50间时，应按一批计。</w:t>
      </w:r>
    </w:p>
    <w:p>
      <w:pPr>
        <w:pStyle w:val="166"/>
        <w:rPr>
          <w:rFonts w:ascii="Times New Roman"/>
          <w:szCs w:val="21"/>
        </w:rPr>
      </w:pPr>
      <w:r>
        <w:rPr>
          <w:rFonts w:hint="eastAsia" w:ascii="Times New Roman"/>
          <w:szCs w:val="21"/>
        </w:rPr>
        <w:t>抹灰工程每个检验批的检查数量</w:t>
      </w:r>
      <w:r>
        <w:rPr>
          <w:rFonts w:ascii="Times New Roman"/>
          <w:szCs w:val="21"/>
        </w:rPr>
        <w:t>应符合下列规定：</w:t>
      </w:r>
    </w:p>
    <w:p>
      <w:pPr>
        <w:pStyle w:val="166"/>
        <w:numPr>
          <w:ilvl w:val="0"/>
          <w:numId w:val="66"/>
        </w:numPr>
        <w:rPr>
          <w:rFonts w:ascii="Times New Roman"/>
          <w:szCs w:val="21"/>
        </w:rPr>
      </w:pPr>
      <w:r>
        <w:rPr>
          <w:rFonts w:hint="eastAsia" w:ascii="Times New Roman"/>
          <w:szCs w:val="21"/>
        </w:rPr>
        <w:t>室外</w:t>
      </w:r>
      <w:r>
        <w:rPr>
          <w:rFonts w:ascii="Times New Roman"/>
          <w:szCs w:val="21"/>
        </w:rPr>
        <w:t>抹灰工程，每检验批每100m</w:t>
      </w:r>
      <w:r>
        <w:rPr>
          <w:rFonts w:ascii="Times New Roman"/>
          <w:szCs w:val="21"/>
          <w:vertAlign w:val="superscript"/>
        </w:rPr>
        <w:t>2</w:t>
      </w:r>
      <w:r>
        <w:rPr>
          <w:rFonts w:ascii="Times New Roman"/>
          <w:szCs w:val="21"/>
        </w:rPr>
        <w:t>应至少抽查一处，每处不得小于10m</w:t>
      </w:r>
      <w:r>
        <w:rPr>
          <w:rFonts w:ascii="Times New Roman"/>
          <w:szCs w:val="21"/>
          <w:vertAlign w:val="superscript"/>
        </w:rPr>
        <w:t>2</w:t>
      </w:r>
      <w:r>
        <w:rPr>
          <w:rFonts w:hint="eastAsia" w:ascii="Times New Roman"/>
          <w:szCs w:val="21"/>
        </w:rPr>
        <w:t>；</w:t>
      </w:r>
    </w:p>
    <w:p>
      <w:pPr>
        <w:pStyle w:val="166"/>
        <w:numPr>
          <w:ilvl w:val="0"/>
          <w:numId w:val="66"/>
        </w:numPr>
        <w:rPr>
          <w:rFonts w:ascii="Times New Roman"/>
          <w:szCs w:val="21"/>
        </w:rPr>
      </w:pPr>
      <w:r>
        <w:rPr>
          <w:rFonts w:hint="eastAsia" w:ascii="Times New Roman"/>
          <w:szCs w:val="21"/>
        </w:rPr>
        <w:t>室内</w:t>
      </w:r>
      <w:r>
        <w:rPr>
          <w:rFonts w:ascii="Times New Roman"/>
          <w:szCs w:val="21"/>
        </w:rPr>
        <w:t>抹灰工程，每检验批应至少抽查10%，并不得少于3间；不足3间时，应全数检查。</w:t>
      </w:r>
    </w:p>
    <w:p>
      <w:pPr>
        <w:pStyle w:val="166"/>
        <w:rPr>
          <w:rFonts w:ascii="Times New Roman"/>
          <w:szCs w:val="21"/>
        </w:rPr>
      </w:pPr>
      <w:r>
        <w:rPr>
          <w:rFonts w:hint="eastAsia" w:ascii="Times New Roman"/>
          <w:szCs w:val="21"/>
        </w:rPr>
        <w:t>抹灰工程的外观质量验收应符合下列规定：</w:t>
      </w:r>
    </w:p>
    <w:p>
      <w:pPr>
        <w:pStyle w:val="166"/>
        <w:numPr>
          <w:ilvl w:val="0"/>
          <w:numId w:val="67"/>
        </w:numPr>
        <w:rPr>
          <w:rFonts w:ascii="Times New Roman"/>
          <w:szCs w:val="21"/>
        </w:rPr>
      </w:pPr>
      <w:r>
        <w:rPr>
          <w:rFonts w:ascii="Times New Roman"/>
          <w:szCs w:val="21"/>
        </w:rPr>
        <w:t>抹灰层</w:t>
      </w:r>
      <w:r>
        <w:rPr>
          <w:rFonts w:hint="eastAsia" w:ascii="Times New Roman"/>
          <w:szCs w:val="21"/>
        </w:rPr>
        <w:t>与基层之间及各抹灰层之间应粘结牢固，抹灰层应无脱层，空鼓面积不应大于400cm</w:t>
      </w:r>
      <w:r>
        <w:rPr>
          <w:rFonts w:hint="eastAsia" w:ascii="Times New Roman"/>
          <w:szCs w:val="21"/>
          <w:vertAlign w:val="superscript"/>
        </w:rPr>
        <w:t>2</w:t>
      </w:r>
      <w:r>
        <w:rPr>
          <w:rFonts w:hint="eastAsia" w:ascii="Times New Roman"/>
          <w:szCs w:val="21"/>
        </w:rPr>
        <w:t>，</w:t>
      </w:r>
      <w:r>
        <w:rPr>
          <w:rFonts w:ascii="Times New Roman"/>
          <w:szCs w:val="21"/>
        </w:rPr>
        <w:t>面层应无起砂、爆灰和裂缝</w:t>
      </w:r>
      <w:r>
        <w:rPr>
          <w:rFonts w:hint="eastAsia" w:ascii="Times New Roman"/>
          <w:szCs w:val="21"/>
        </w:rPr>
        <w:t>；</w:t>
      </w:r>
    </w:p>
    <w:p>
      <w:pPr>
        <w:pStyle w:val="166"/>
        <w:numPr>
          <w:ilvl w:val="0"/>
          <w:numId w:val="67"/>
        </w:numPr>
        <w:rPr>
          <w:rFonts w:ascii="Times New Roman"/>
          <w:szCs w:val="21"/>
        </w:rPr>
      </w:pPr>
      <w:r>
        <w:rPr>
          <w:rFonts w:ascii="Times New Roman"/>
          <w:szCs w:val="21"/>
        </w:rPr>
        <w:t>抹灰表面应光滑、平整、洁净、接槎平整、颜色均匀，分格缝应清晰</w:t>
      </w:r>
      <w:r>
        <w:rPr>
          <w:rFonts w:hint="eastAsia" w:ascii="Times New Roman"/>
          <w:szCs w:val="21"/>
        </w:rPr>
        <w:t>；</w:t>
      </w:r>
    </w:p>
    <w:p>
      <w:pPr>
        <w:pStyle w:val="166"/>
        <w:numPr>
          <w:ilvl w:val="0"/>
          <w:numId w:val="67"/>
        </w:numPr>
        <w:rPr>
          <w:rFonts w:ascii="Times New Roman"/>
          <w:szCs w:val="21"/>
        </w:rPr>
      </w:pPr>
      <w:r>
        <w:rPr>
          <w:rFonts w:ascii="Times New Roman"/>
          <w:szCs w:val="21"/>
        </w:rPr>
        <w:t>护角、孔洞、槽、盒周围的抹灰表面应整齐、光滑；管道后面的抹灰表面应平整。</w:t>
      </w:r>
    </w:p>
    <w:p>
      <w:pPr>
        <w:pStyle w:val="166"/>
        <w:rPr>
          <w:rFonts w:ascii="Times New Roman"/>
          <w:szCs w:val="21"/>
        </w:rPr>
      </w:pPr>
      <w:r>
        <w:rPr>
          <w:rFonts w:hint="eastAsia" w:ascii="Times New Roman"/>
          <w:szCs w:val="21"/>
        </w:rPr>
        <w:t>抹灰砂浆抗压强度试块的制作和养护应符合下列规定：</w:t>
      </w:r>
    </w:p>
    <w:p>
      <w:pPr>
        <w:pStyle w:val="166"/>
        <w:numPr>
          <w:ilvl w:val="0"/>
          <w:numId w:val="68"/>
        </w:numPr>
        <w:rPr>
          <w:rFonts w:ascii="Times New Roman"/>
          <w:szCs w:val="21"/>
        </w:rPr>
      </w:pPr>
      <w:r>
        <w:rPr>
          <w:rFonts w:hint="eastAsia" w:ascii="Times New Roman"/>
          <w:szCs w:val="21"/>
        </w:rPr>
        <w:t>砂浆稠度应与实验室稠度一致；</w:t>
      </w:r>
    </w:p>
    <w:p>
      <w:pPr>
        <w:pStyle w:val="166"/>
        <w:numPr>
          <w:ilvl w:val="0"/>
          <w:numId w:val="68"/>
        </w:numPr>
        <w:rPr>
          <w:rFonts w:ascii="Times New Roman"/>
          <w:szCs w:val="21"/>
        </w:rPr>
      </w:pPr>
      <w:r>
        <w:rPr>
          <w:rFonts w:ascii="Times New Roman"/>
          <w:szCs w:val="21"/>
        </w:rPr>
        <w:t>每检验批应至少留置</w:t>
      </w:r>
      <w:r>
        <w:rPr>
          <w:rFonts w:hint="eastAsia" w:ascii="Times New Roman"/>
          <w:szCs w:val="21"/>
        </w:rPr>
        <w:t>3</w:t>
      </w:r>
      <w:r>
        <w:rPr>
          <w:rFonts w:ascii="Times New Roman"/>
          <w:szCs w:val="21"/>
        </w:rPr>
        <w:t>组抗压强度试块</w:t>
      </w:r>
      <w:r>
        <w:rPr>
          <w:rFonts w:hint="eastAsia" w:ascii="Times New Roman"/>
          <w:szCs w:val="21"/>
        </w:rPr>
        <w:t>；</w:t>
      </w:r>
    </w:p>
    <w:p>
      <w:pPr>
        <w:pStyle w:val="166"/>
        <w:numPr>
          <w:ilvl w:val="0"/>
          <w:numId w:val="68"/>
        </w:numPr>
        <w:rPr>
          <w:rFonts w:ascii="Times New Roman"/>
          <w:szCs w:val="21"/>
        </w:rPr>
      </w:pPr>
      <w:r>
        <w:rPr>
          <w:rFonts w:hint="eastAsia" w:ascii="Times New Roman"/>
          <w:szCs w:val="21"/>
        </w:rPr>
        <w:t>试块的养护条件应与实验室的养护条件相同。</w:t>
      </w:r>
    </w:p>
    <w:p>
      <w:pPr>
        <w:pStyle w:val="166"/>
        <w:rPr>
          <w:rFonts w:ascii="Times New Roman"/>
          <w:szCs w:val="21"/>
        </w:rPr>
      </w:pPr>
      <w:r>
        <w:rPr>
          <w:rFonts w:hint="eastAsia" w:ascii="Times New Roman"/>
          <w:szCs w:val="21"/>
        </w:rPr>
        <w:t>抹灰砂浆抗压强度应按验收批进行评定，其合格条件应符合下列规定：</w:t>
      </w:r>
    </w:p>
    <w:p>
      <w:pPr>
        <w:pStyle w:val="166"/>
        <w:numPr>
          <w:ilvl w:val="0"/>
          <w:numId w:val="69"/>
        </w:numPr>
        <w:rPr>
          <w:rFonts w:ascii="Times New Roman"/>
          <w:szCs w:val="21"/>
        </w:rPr>
      </w:pPr>
      <w:r>
        <w:rPr>
          <w:rFonts w:ascii="Times New Roman"/>
          <w:szCs w:val="21"/>
        </w:rPr>
        <w:t>同一验收批砂浆试块抗压强度平均值</w:t>
      </w:r>
      <w:r>
        <w:rPr>
          <w:rFonts w:hint="eastAsia" w:ascii="Times New Roman"/>
          <w:szCs w:val="21"/>
        </w:rPr>
        <w:t>应不小于</w:t>
      </w:r>
      <w:r>
        <w:rPr>
          <w:rFonts w:ascii="Times New Roman"/>
          <w:szCs w:val="21"/>
        </w:rPr>
        <w:t>设计强度等级，且抗压强度最小值</w:t>
      </w:r>
      <w:r>
        <w:rPr>
          <w:rFonts w:hint="eastAsia" w:ascii="Times New Roman"/>
          <w:szCs w:val="21"/>
        </w:rPr>
        <w:t>应不小于</w:t>
      </w:r>
      <w:r>
        <w:rPr>
          <w:rFonts w:ascii="Times New Roman"/>
          <w:szCs w:val="21"/>
        </w:rPr>
        <w:t>设计强度等级值的</w:t>
      </w:r>
      <w:r>
        <w:rPr>
          <w:rFonts w:hint="eastAsia" w:ascii="Times New Roman"/>
          <w:szCs w:val="21"/>
        </w:rPr>
        <w:t>0.75倍；</w:t>
      </w:r>
    </w:p>
    <w:p>
      <w:pPr>
        <w:pStyle w:val="166"/>
        <w:numPr>
          <w:ilvl w:val="0"/>
          <w:numId w:val="69"/>
        </w:numPr>
        <w:rPr>
          <w:rFonts w:ascii="Times New Roman"/>
          <w:szCs w:val="21"/>
        </w:rPr>
      </w:pPr>
      <w:r>
        <w:rPr>
          <w:rFonts w:ascii="Times New Roman"/>
          <w:szCs w:val="21"/>
        </w:rPr>
        <w:t>当同一验收批试块少于3组时，每组试块抗压强度均</w:t>
      </w:r>
      <w:r>
        <w:rPr>
          <w:rFonts w:hint="eastAsia" w:ascii="Times New Roman"/>
          <w:szCs w:val="21"/>
        </w:rPr>
        <w:t>应不小于</w:t>
      </w:r>
      <w:r>
        <w:rPr>
          <w:rFonts w:ascii="Times New Roman"/>
          <w:szCs w:val="21"/>
        </w:rPr>
        <w:t>设计强度等级值。</w:t>
      </w:r>
    </w:p>
    <w:p>
      <w:pPr>
        <w:pStyle w:val="166"/>
        <w:rPr>
          <w:rFonts w:ascii="Times New Roman"/>
          <w:szCs w:val="21"/>
        </w:rPr>
      </w:pPr>
      <w:r>
        <w:rPr>
          <w:rFonts w:hint="eastAsia" w:ascii="Times New Roman"/>
          <w:szCs w:val="21"/>
        </w:rPr>
        <w:t>砂浆抹灰层应在2</w:t>
      </w:r>
      <w:r>
        <w:rPr>
          <w:rFonts w:ascii="Times New Roman"/>
          <w:szCs w:val="21"/>
        </w:rPr>
        <w:t>8</w:t>
      </w:r>
      <w:r>
        <w:rPr>
          <w:rFonts w:hint="eastAsia" w:ascii="Times New Roman"/>
          <w:szCs w:val="21"/>
        </w:rPr>
        <w:t>d龄期时，按JGJ</w:t>
      </w:r>
      <w:r>
        <w:rPr>
          <w:rFonts w:ascii="Times New Roman"/>
          <w:szCs w:val="21"/>
        </w:rPr>
        <w:t>/T 220</w:t>
      </w:r>
      <w:r>
        <w:rPr>
          <w:rFonts w:hint="eastAsia" w:ascii="Times New Roman"/>
          <w:szCs w:val="21"/>
        </w:rPr>
        <w:t>的规定进行实体拉伸粘结强度检验，并应符合下列规定：</w:t>
      </w:r>
    </w:p>
    <w:p>
      <w:pPr>
        <w:pStyle w:val="166"/>
        <w:numPr>
          <w:ilvl w:val="0"/>
          <w:numId w:val="70"/>
        </w:numPr>
        <w:rPr>
          <w:rFonts w:ascii="Times New Roman"/>
          <w:szCs w:val="21"/>
        </w:rPr>
      </w:pPr>
      <w:r>
        <w:rPr>
          <w:rFonts w:hint="eastAsia" w:ascii="Times New Roman"/>
          <w:szCs w:val="21"/>
        </w:rPr>
        <w:t>相同材料、工艺和施工条件</w:t>
      </w:r>
      <w:r>
        <w:rPr>
          <w:rFonts w:ascii="Times New Roman"/>
          <w:szCs w:val="21"/>
        </w:rPr>
        <w:t>的</w:t>
      </w:r>
      <w:r>
        <w:rPr>
          <w:rFonts w:hint="eastAsia" w:ascii="Times New Roman"/>
          <w:szCs w:val="21"/>
        </w:rPr>
        <w:t>外墙和顶棚</w:t>
      </w:r>
      <w:r>
        <w:rPr>
          <w:rFonts w:ascii="Times New Roman"/>
          <w:szCs w:val="21"/>
        </w:rPr>
        <w:t>抹灰工程每5000m</w:t>
      </w:r>
      <w:r>
        <w:rPr>
          <w:rFonts w:ascii="Times New Roman"/>
          <w:szCs w:val="21"/>
          <w:vertAlign w:val="superscript"/>
        </w:rPr>
        <w:t>2</w:t>
      </w:r>
      <w:r>
        <w:rPr>
          <w:rFonts w:ascii="Times New Roman"/>
          <w:szCs w:val="21"/>
        </w:rPr>
        <w:t>应为一个检验批，不足5000m</w:t>
      </w:r>
      <w:r>
        <w:rPr>
          <w:rFonts w:ascii="Times New Roman"/>
          <w:szCs w:val="21"/>
          <w:vertAlign w:val="superscript"/>
        </w:rPr>
        <w:t>2</w:t>
      </w:r>
      <w:r>
        <w:rPr>
          <w:rFonts w:ascii="Times New Roman"/>
          <w:szCs w:val="21"/>
        </w:rPr>
        <w:t>时</w:t>
      </w:r>
      <w:r>
        <w:rPr>
          <w:rFonts w:hint="eastAsia" w:ascii="Times New Roman"/>
          <w:szCs w:val="21"/>
        </w:rPr>
        <w:t>也按一批计；</w:t>
      </w:r>
    </w:p>
    <w:p>
      <w:pPr>
        <w:pStyle w:val="166"/>
        <w:numPr>
          <w:ilvl w:val="0"/>
          <w:numId w:val="70"/>
        </w:numPr>
        <w:rPr>
          <w:rFonts w:ascii="Times New Roman"/>
          <w:szCs w:val="21"/>
        </w:rPr>
      </w:pPr>
      <w:r>
        <w:rPr>
          <w:rFonts w:hint="eastAsia" w:ascii="Times New Roman"/>
          <w:szCs w:val="21"/>
        </w:rPr>
        <w:t>每个检验批应至少取1组试件进行检测；</w:t>
      </w:r>
    </w:p>
    <w:p>
      <w:pPr>
        <w:pStyle w:val="166"/>
        <w:numPr>
          <w:ilvl w:val="0"/>
          <w:numId w:val="70"/>
        </w:numPr>
        <w:rPr>
          <w:rFonts w:ascii="Times New Roman"/>
          <w:szCs w:val="21"/>
        </w:rPr>
      </w:pPr>
      <w:r>
        <w:rPr>
          <w:rFonts w:hint="eastAsia" w:ascii="Times New Roman"/>
          <w:szCs w:val="21"/>
        </w:rPr>
        <w:t>同一验收批拉伸粘结强度的平均值应不小于0.25MPa，且最小值应不小于规定值的0.75倍；当同一验收批抹灰层拉伸粘结强度试验少于3组时，每组试件拉伸粘结强度均应不小于0.25MPa。</w:t>
      </w:r>
    </w:p>
    <w:p>
      <w:pPr>
        <w:pStyle w:val="166"/>
        <w:rPr>
          <w:rFonts w:ascii="Times New Roman"/>
          <w:szCs w:val="21"/>
        </w:rPr>
      </w:pPr>
      <w:r>
        <w:rPr>
          <w:rFonts w:ascii="Times New Roman"/>
          <w:szCs w:val="21"/>
        </w:rPr>
        <w:t>当内墙抹灰工程中抗压强度</w:t>
      </w:r>
      <w:r>
        <w:rPr>
          <w:rFonts w:hint="eastAsia" w:ascii="Times New Roman"/>
          <w:szCs w:val="21"/>
        </w:rPr>
        <w:t>试块</w:t>
      </w:r>
      <w:r>
        <w:rPr>
          <w:rFonts w:ascii="Times New Roman"/>
          <w:szCs w:val="21"/>
        </w:rPr>
        <w:t>检验不合格时，应在现场对内墙抹灰层进行拉伸</w:t>
      </w:r>
      <w:r>
        <w:rPr>
          <w:rFonts w:hint="eastAsia" w:ascii="Times New Roman"/>
          <w:szCs w:val="21"/>
        </w:rPr>
        <w:t>粘结</w:t>
      </w:r>
      <w:r>
        <w:rPr>
          <w:rFonts w:ascii="Times New Roman"/>
          <w:szCs w:val="21"/>
        </w:rPr>
        <w:t>强度检测，</w:t>
      </w:r>
      <w:r>
        <w:rPr>
          <w:rFonts w:hint="eastAsia" w:ascii="Times New Roman"/>
          <w:szCs w:val="21"/>
        </w:rPr>
        <w:t>并应以其检测结果为准</w:t>
      </w:r>
      <w:r>
        <w:rPr>
          <w:rFonts w:ascii="Times New Roman"/>
          <w:szCs w:val="21"/>
        </w:rPr>
        <w:t>。</w:t>
      </w:r>
      <w:r>
        <w:rPr>
          <w:rFonts w:hint="eastAsia" w:ascii="Times New Roman"/>
          <w:szCs w:val="21"/>
        </w:rPr>
        <w:t>当外墙或顶棚抹灰施工中抗压强度检验不合格时，应对外墙或顶棚抹灰砂浆加倍取样进行抹灰层拉伸粘结强度检测，并应以其检测结果为准。</w:t>
      </w:r>
    </w:p>
    <w:p>
      <w:pPr>
        <w:pStyle w:val="166"/>
        <w:rPr>
          <w:rFonts w:ascii="Times New Roman"/>
          <w:szCs w:val="21"/>
        </w:rPr>
      </w:pPr>
      <w:r>
        <w:rPr>
          <w:rFonts w:ascii="Times New Roman"/>
          <w:szCs w:val="21"/>
        </w:rPr>
        <w:t>抹灰工程施工质量验收尚应符合GB 50210的规定。当抹灰砂浆外表面粘贴饰面砖时，</w:t>
      </w:r>
      <w:r>
        <w:rPr>
          <w:rFonts w:hint="eastAsia" w:ascii="Times New Roman"/>
          <w:szCs w:val="21"/>
        </w:rPr>
        <w:t>还</w:t>
      </w:r>
      <w:r>
        <w:rPr>
          <w:rFonts w:ascii="Times New Roman"/>
          <w:szCs w:val="21"/>
        </w:rPr>
        <w:t>应符合JGJ 126、JGJ</w:t>
      </w:r>
      <w:r>
        <w:rPr>
          <w:rFonts w:hint="eastAsia" w:ascii="Times New Roman"/>
          <w:szCs w:val="21"/>
        </w:rPr>
        <w:t>/T</w:t>
      </w:r>
      <w:r>
        <w:rPr>
          <w:rFonts w:ascii="Times New Roman"/>
          <w:szCs w:val="21"/>
        </w:rPr>
        <w:t xml:space="preserve"> 110的规定。</w:t>
      </w:r>
    </w:p>
    <w:p>
      <w:pPr>
        <w:pStyle w:val="106"/>
        <w:spacing w:before="156" w:after="156"/>
      </w:pPr>
      <w:r>
        <w:rPr>
          <w:rFonts w:hint="eastAsia"/>
        </w:rPr>
        <w:t>地面砂浆工程</w:t>
      </w:r>
    </w:p>
    <w:p>
      <w:pPr>
        <w:pStyle w:val="166"/>
        <w:rPr>
          <w:rFonts w:ascii="Times New Roman"/>
          <w:szCs w:val="21"/>
        </w:rPr>
      </w:pPr>
      <w:r>
        <w:rPr>
          <w:rFonts w:ascii="Times New Roman"/>
          <w:szCs w:val="21"/>
        </w:rPr>
        <w:t>地面砂浆检验批的划分应符合</w:t>
      </w:r>
      <w:r>
        <w:rPr>
          <w:rFonts w:hint="eastAsia" w:ascii="Times New Roman"/>
          <w:szCs w:val="21"/>
        </w:rPr>
        <w:t>下列</w:t>
      </w:r>
      <w:r>
        <w:rPr>
          <w:rFonts w:ascii="Times New Roman"/>
          <w:szCs w:val="21"/>
        </w:rPr>
        <w:t>规定：</w:t>
      </w:r>
    </w:p>
    <w:p>
      <w:pPr>
        <w:pStyle w:val="166"/>
        <w:numPr>
          <w:ilvl w:val="0"/>
          <w:numId w:val="71"/>
        </w:numPr>
        <w:rPr>
          <w:rFonts w:ascii="Times New Roman"/>
          <w:szCs w:val="21"/>
        </w:rPr>
      </w:pPr>
      <w:r>
        <w:rPr>
          <w:rFonts w:ascii="Times New Roman"/>
          <w:szCs w:val="21"/>
        </w:rPr>
        <w:t>地面砂浆应按每一层次或每层</w:t>
      </w:r>
      <w:r>
        <w:rPr>
          <w:rFonts w:hint="eastAsia" w:ascii="Times New Roman"/>
          <w:szCs w:val="21"/>
        </w:rPr>
        <w:t>的</w:t>
      </w:r>
      <w:r>
        <w:rPr>
          <w:rFonts w:ascii="Times New Roman"/>
          <w:szCs w:val="21"/>
        </w:rPr>
        <w:t>施工段</w:t>
      </w:r>
      <w:r>
        <w:rPr>
          <w:rFonts w:hint="eastAsia" w:ascii="Times New Roman"/>
          <w:szCs w:val="21"/>
        </w:rPr>
        <w:t>、</w:t>
      </w:r>
      <w:r>
        <w:rPr>
          <w:rFonts w:ascii="Times New Roman"/>
          <w:szCs w:val="21"/>
        </w:rPr>
        <w:t>变形缝作为一个检验批</w:t>
      </w:r>
      <w:r>
        <w:rPr>
          <w:rFonts w:hint="eastAsia" w:ascii="Times New Roman"/>
          <w:szCs w:val="21"/>
        </w:rPr>
        <w:t>；</w:t>
      </w:r>
    </w:p>
    <w:p>
      <w:pPr>
        <w:pStyle w:val="166"/>
        <w:numPr>
          <w:ilvl w:val="0"/>
          <w:numId w:val="71"/>
        </w:numPr>
        <w:rPr>
          <w:rFonts w:ascii="Times New Roman"/>
          <w:szCs w:val="21"/>
        </w:rPr>
      </w:pPr>
      <w:r>
        <w:rPr>
          <w:rFonts w:ascii="Times New Roman"/>
          <w:szCs w:val="21"/>
        </w:rPr>
        <w:t>高层及多层建筑的标准层可按每3层作为一个检验批，不足3层时，应按一个检验批</w:t>
      </w:r>
      <w:r>
        <w:rPr>
          <w:rFonts w:hint="eastAsia" w:ascii="Times New Roman"/>
          <w:szCs w:val="21"/>
        </w:rPr>
        <w:t>计。</w:t>
      </w:r>
    </w:p>
    <w:p>
      <w:pPr>
        <w:pStyle w:val="166"/>
        <w:rPr>
          <w:rFonts w:ascii="Times New Roman"/>
          <w:szCs w:val="21"/>
        </w:rPr>
      </w:pPr>
      <w:r>
        <w:rPr>
          <w:rFonts w:hint="eastAsia" w:ascii="Times New Roman"/>
          <w:szCs w:val="21"/>
        </w:rPr>
        <w:t>同一品种、同一强度等级的</w:t>
      </w:r>
      <w:r>
        <w:rPr>
          <w:rFonts w:ascii="Times New Roman"/>
          <w:szCs w:val="21"/>
        </w:rPr>
        <w:t>地面砂浆</w:t>
      </w:r>
      <w:r>
        <w:rPr>
          <w:rFonts w:hint="eastAsia" w:ascii="Times New Roman"/>
          <w:szCs w:val="21"/>
        </w:rPr>
        <w:t>，</w:t>
      </w:r>
      <w:r>
        <w:rPr>
          <w:rFonts w:ascii="Times New Roman"/>
          <w:szCs w:val="21"/>
        </w:rPr>
        <w:t>每检验批</w:t>
      </w:r>
      <w:r>
        <w:rPr>
          <w:rFonts w:hint="eastAsia" w:ascii="Times New Roman"/>
          <w:szCs w:val="21"/>
        </w:rPr>
        <w:t>且不超过1000m</w:t>
      </w:r>
      <w:r>
        <w:rPr>
          <w:rFonts w:hint="eastAsia" w:ascii="Times New Roman"/>
          <w:szCs w:val="21"/>
          <w:vertAlign w:val="superscript"/>
        </w:rPr>
        <w:t>2</w:t>
      </w:r>
      <w:r>
        <w:rPr>
          <w:rFonts w:ascii="Times New Roman"/>
          <w:szCs w:val="21"/>
        </w:rPr>
        <w:t>应至少留置</w:t>
      </w:r>
      <w:r>
        <w:rPr>
          <w:rFonts w:hint="eastAsia" w:ascii="Times New Roman"/>
          <w:szCs w:val="21"/>
        </w:rPr>
        <w:t>1</w:t>
      </w:r>
      <w:r>
        <w:rPr>
          <w:rFonts w:ascii="Times New Roman"/>
          <w:szCs w:val="21"/>
        </w:rPr>
        <w:t>组抗压强度试块。</w:t>
      </w:r>
    </w:p>
    <w:p>
      <w:pPr>
        <w:pStyle w:val="166"/>
        <w:rPr>
          <w:rFonts w:ascii="Times New Roman"/>
          <w:szCs w:val="21"/>
        </w:rPr>
      </w:pPr>
      <w:r>
        <w:rPr>
          <w:rFonts w:hint="eastAsia" w:ascii="Times New Roman"/>
          <w:szCs w:val="21"/>
        </w:rPr>
        <w:t>地面砂浆</w:t>
      </w:r>
      <w:r>
        <w:rPr>
          <w:rFonts w:ascii="Times New Roman"/>
          <w:szCs w:val="21"/>
        </w:rPr>
        <w:t>外观检查数量应</w:t>
      </w:r>
      <w:r>
        <w:rPr>
          <w:rFonts w:hint="eastAsia" w:ascii="Times New Roman"/>
          <w:szCs w:val="21"/>
        </w:rPr>
        <w:t>符合</w:t>
      </w:r>
      <w:r>
        <w:rPr>
          <w:rFonts w:ascii="Times New Roman"/>
          <w:szCs w:val="21"/>
        </w:rPr>
        <w:t>下列规定：</w:t>
      </w:r>
    </w:p>
    <w:p>
      <w:pPr>
        <w:pStyle w:val="166"/>
        <w:numPr>
          <w:ilvl w:val="0"/>
          <w:numId w:val="72"/>
        </w:numPr>
        <w:rPr>
          <w:rFonts w:ascii="Times New Roman"/>
          <w:szCs w:val="21"/>
        </w:rPr>
      </w:pPr>
      <w:r>
        <w:rPr>
          <w:rFonts w:ascii="Times New Roman"/>
          <w:szCs w:val="21"/>
        </w:rPr>
        <w:t>每检验批应按自然间或标准间随机检验，抽查数量应不少于3间</w:t>
      </w:r>
      <w:r>
        <w:rPr>
          <w:rFonts w:hint="eastAsia" w:ascii="Times New Roman"/>
          <w:szCs w:val="21"/>
        </w:rPr>
        <w:t>；</w:t>
      </w:r>
      <w:r>
        <w:rPr>
          <w:rFonts w:ascii="Times New Roman"/>
          <w:szCs w:val="21"/>
        </w:rPr>
        <w:t>不足3间时，应全数检查。走廊(过道)应以10延长米为1间，工业厂房(按单跨计)、礼堂、门厅应以两个轴线为1间计算</w:t>
      </w:r>
      <w:r>
        <w:rPr>
          <w:rFonts w:hint="eastAsia" w:ascii="Times New Roman"/>
          <w:szCs w:val="21"/>
        </w:rPr>
        <w:t>；</w:t>
      </w:r>
    </w:p>
    <w:p>
      <w:pPr>
        <w:pStyle w:val="166"/>
        <w:numPr>
          <w:ilvl w:val="0"/>
          <w:numId w:val="72"/>
        </w:numPr>
        <w:rPr>
          <w:rFonts w:ascii="Times New Roman"/>
          <w:szCs w:val="21"/>
        </w:rPr>
      </w:pPr>
      <w:r>
        <w:rPr>
          <w:rFonts w:ascii="Times New Roman"/>
          <w:szCs w:val="21"/>
        </w:rPr>
        <w:t>对有防水要求的建筑地面，每检验批应按自然间或标准间总数随机检验，抽查数量应不少于4间</w:t>
      </w:r>
      <w:r>
        <w:rPr>
          <w:rFonts w:hint="eastAsia" w:ascii="Times New Roman"/>
          <w:szCs w:val="21"/>
        </w:rPr>
        <w:t>；</w:t>
      </w:r>
      <w:r>
        <w:rPr>
          <w:rFonts w:ascii="Times New Roman"/>
          <w:szCs w:val="21"/>
        </w:rPr>
        <w:t>不足4间时</w:t>
      </w:r>
      <w:r>
        <w:rPr>
          <w:rFonts w:hint="eastAsia" w:ascii="Times New Roman"/>
          <w:szCs w:val="21"/>
        </w:rPr>
        <w:t>，</w:t>
      </w:r>
      <w:r>
        <w:rPr>
          <w:rFonts w:ascii="Times New Roman"/>
          <w:szCs w:val="21"/>
        </w:rPr>
        <w:t>应全数检查。</w:t>
      </w:r>
    </w:p>
    <w:p>
      <w:pPr>
        <w:pStyle w:val="166"/>
        <w:rPr>
          <w:rFonts w:ascii="Times New Roman"/>
          <w:szCs w:val="21"/>
        </w:rPr>
      </w:pPr>
      <w:r>
        <w:rPr>
          <w:rFonts w:hint="eastAsia" w:ascii="Times New Roman"/>
          <w:szCs w:val="21"/>
        </w:rPr>
        <w:t>地面砂浆的外观质量验收应符合下列规定：</w:t>
      </w:r>
    </w:p>
    <w:p>
      <w:pPr>
        <w:pStyle w:val="166"/>
        <w:numPr>
          <w:ilvl w:val="0"/>
          <w:numId w:val="73"/>
        </w:numPr>
        <w:rPr>
          <w:rFonts w:ascii="Times New Roman"/>
          <w:szCs w:val="21"/>
        </w:rPr>
      </w:pPr>
      <w:r>
        <w:rPr>
          <w:rFonts w:ascii="Times New Roman"/>
          <w:szCs w:val="21"/>
        </w:rPr>
        <w:t>砂浆层表面应洁净</w:t>
      </w:r>
      <w:r>
        <w:rPr>
          <w:rFonts w:hint="eastAsia" w:ascii="Times New Roman"/>
          <w:szCs w:val="21"/>
        </w:rPr>
        <w:t>，</w:t>
      </w:r>
      <w:r>
        <w:rPr>
          <w:rFonts w:ascii="Times New Roman"/>
          <w:szCs w:val="21"/>
        </w:rPr>
        <w:t>并应无起砂、脱皮、麻面等缺陷</w:t>
      </w:r>
      <w:r>
        <w:rPr>
          <w:rFonts w:hint="eastAsia" w:ascii="Times New Roman"/>
          <w:szCs w:val="21"/>
        </w:rPr>
        <w:t>；</w:t>
      </w:r>
    </w:p>
    <w:p>
      <w:pPr>
        <w:pStyle w:val="166"/>
        <w:numPr>
          <w:ilvl w:val="0"/>
          <w:numId w:val="73"/>
        </w:numPr>
        <w:rPr>
          <w:rFonts w:ascii="Times New Roman"/>
          <w:szCs w:val="21"/>
        </w:rPr>
      </w:pPr>
      <w:r>
        <w:rPr>
          <w:rFonts w:ascii="Times New Roman"/>
          <w:szCs w:val="21"/>
        </w:rPr>
        <w:t>砂浆层应平整、密实，上一层与下一层应结合牢固，应无空鼓、裂缝。当空鼓面积不大于400</w:t>
      </w:r>
      <w:r>
        <w:rPr>
          <w:rFonts w:hint="eastAsia" w:ascii="Times New Roman"/>
          <w:szCs w:val="21"/>
        </w:rPr>
        <w:t>c</w:t>
      </w:r>
      <w:r>
        <w:rPr>
          <w:rFonts w:ascii="Times New Roman"/>
          <w:szCs w:val="21"/>
        </w:rPr>
        <w:t>m</w:t>
      </w:r>
      <w:r>
        <w:rPr>
          <w:rFonts w:ascii="Times New Roman"/>
          <w:szCs w:val="21"/>
          <w:vertAlign w:val="superscript"/>
        </w:rPr>
        <w:t>2</w:t>
      </w:r>
      <w:r>
        <w:rPr>
          <w:rFonts w:hint="eastAsia" w:ascii="Times New Roman"/>
          <w:szCs w:val="21"/>
        </w:rPr>
        <w:t>、</w:t>
      </w:r>
      <w:r>
        <w:rPr>
          <w:rFonts w:ascii="Times New Roman"/>
          <w:szCs w:val="21"/>
        </w:rPr>
        <w:t>且每自然间(标准间)不多于2处</w:t>
      </w:r>
      <w:r>
        <w:rPr>
          <w:rFonts w:hint="eastAsia" w:ascii="Times New Roman"/>
          <w:szCs w:val="21"/>
        </w:rPr>
        <w:t>，可不计；</w:t>
      </w:r>
    </w:p>
    <w:p>
      <w:pPr>
        <w:pStyle w:val="166"/>
        <w:numPr>
          <w:ilvl w:val="0"/>
          <w:numId w:val="73"/>
        </w:numPr>
        <w:rPr>
          <w:rFonts w:ascii="Times New Roman"/>
          <w:szCs w:val="21"/>
        </w:rPr>
      </w:pPr>
      <w:r>
        <w:rPr>
          <w:rFonts w:ascii="Times New Roman"/>
          <w:szCs w:val="21"/>
        </w:rPr>
        <w:t>踢脚线应与墙面结合牢固、高度一致、出墙厚度均匀</w:t>
      </w:r>
      <w:r>
        <w:rPr>
          <w:rFonts w:hint="eastAsia" w:ascii="Times New Roman"/>
          <w:szCs w:val="21"/>
        </w:rPr>
        <w:t>；</w:t>
      </w:r>
    </w:p>
    <w:p>
      <w:pPr>
        <w:pStyle w:val="166"/>
        <w:numPr>
          <w:ilvl w:val="0"/>
          <w:numId w:val="73"/>
        </w:numPr>
        <w:rPr>
          <w:rFonts w:ascii="Times New Roman"/>
          <w:szCs w:val="21"/>
        </w:rPr>
      </w:pPr>
      <w:r>
        <w:rPr>
          <w:rFonts w:hint="eastAsia" w:ascii="Times New Roman"/>
          <w:szCs w:val="21"/>
        </w:rPr>
        <w:t>地面</w:t>
      </w:r>
      <w:r>
        <w:rPr>
          <w:rFonts w:ascii="Times New Roman"/>
          <w:szCs w:val="21"/>
        </w:rPr>
        <w:t>砂浆面层的允许偏差和检验方法应符合表</w:t>
      </w:r>
      <w:r>
        <w:rPr>
          <w:rFonts w:hint="eastAsia" w:ascii="Times New Roman"/>
          <w:szCs w:val="21"/>
        </w:rPr>
        <w:t>21</w:t>
      </w:r>
      <w:r>
        <w:rPr>
          <w:rFonts w:ascii="Times New Roman"/>
          <w:szCs w:val="21"/>
        </w:rPr>
        <w:t>规定。</w:t>
      </w:r>
    </w:p>
    <w:p>
      <w:pPr>
        <w:pStyle w:val="166"/>
        <w:numPr>
          <w:ilvl w:val="0"/>
          <w:numId w:val="0"/>
        </w:numPr>
        <w:spacing w:before="156" w:beforeLines="50" w:after="156" w:afterLines="50"/>
        <w:jc w:val="center"/>
        <w:rPr>
          <w:rFonts w:ascii="Times New Roman" w:eastAsia="黑体"/>
          <w:szCs w:val="21"/>
        </w:rPr>
      </w:pPr>
      <w:r>
        <w:rPr>
          <w:rFonts w:ascii="Times New Roman" w:eastAsia="黑体"/>
          <w:szCs w:val="21"/>
        </w:rPr>
        <w:t>表</w:t>
      </w:r>
      <w:r>
        <w:rPr>
          <w:rFonts w:hint="eastAsia" w:ascii="Times New Roman" w:eastAsia="黑体"/>
          <w:szCs w:val="21"/>
        </w:rPr>
        <w:t>21</w:t>
      </w:r>
      <w:r>
        <w:rPr>
          <w:rFonts w:ascii="Times New Roman" w:eastAsia="黑体"/>
          <w:szCs w:val="21"/>
        </w:rPr>
        <w:t xml:space="preserve"> 地面砂浆面层的允许偏差和检验方法 </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68"/>
        <w:gridCol w:w="2069"/>
        <w:gridCol w:w="48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394" w:type="pct"/>
            <w:vAlign w:val="center"/>
          </w:tcPr>
          <w:p>
            <w:pPr>
              <w:spacing w:line="240" w:lineRule="auto"/>
              <w:jc w:val="center"/>
              <w:rPr>
                <w:sz w:val="18"/>
                <w:szCs w:val="18"/>
              </w:rPr>
            </w:pPr>
            <w:r>
              <w:rPr>
                <w:sz w:val="18"/>
                <w:szCs w:val="18"/>
              </w:rPr>
              <w:t>项目</w:t>
            </w:r>
          </w:p>
        </w:tc>
        <w:tc>
          <w:tcPr>
            <w:tcW w:w="1081" w:type="pct"/>
            <w:tcBorders>
              <w:right w:val="single" w:color="auto" w:sz="4" w:space="0"/>
            </w:tcBorders>
            <w:vAlign w:val="center"/>
          </w:tcPr>
          <w:p>
            <w:pPr>
              <w:spacing w:line="240" w:lineRule="auto"/>
              <w:jc w:val="center"/>
              <w:rPr>
                <w:sz w:val="18"/>
                <w:szCs w:val="18"/>
              </w:rPr>
            </w:pPr>
            <w:r>
              <w:rPr>
                <w:sz w:val="18"/>
                <w:szCs w:val="18"/>
              </w:rPr>
              <w:t>允许偏差</w:t>
            </w:r>
            <w:r>
              <w:rPr>
                <w:rFonts w:hint="eastAsia"/>
                <w:sz w:val="18"/>
                <w:szCs w:val="18"/>
              </w:rPr>
              <w:t>/</w:t>
            </w:r>
            <w:r>
              <w:rPr>
                <w:sz w:val="18"/>
                <w:szCs w:val="18"/>
              </w:rPr>
              <w:t>mm</w:t>
            </w:r>
          </w:p>
        </w:tc>
        <w:tc>
          <w:tcPr>
            <w:tcW w:w="2525" w:type="pct"/>
            <w:tcBorders>
              <w:right w:val="single" w:color="auto" w:sz="4" w:space="0"/>
            </w:tcBorders>
            <w:vAlign w:val="center"/>
          </w:tcPr>
          <w:p>
            <w:pPr>
              <w:spacing w:line="240" w:lineRule="auto"/>
              <w:jc w:val="center"/>
              <w:rPr>
                <w:sz w:val="18"/>
                <w:szCs w:val="18"/>
              </w:rPr>
            </w:pPr>
            <w:r>
              <w:rPr>
                <w:sz w:val="18"/>
                <w:szCs w:val="18"/>
              </w:rPr>
              <w:t>检验方法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394" w:type="pct"/>
            <w:vAlign w:val="center"/>
          </w:tcPr>
          <w:p>
            <w:pPr>
              <w:spacing w:line="240" w:lineRule="auto"/>
              <w:jc w:val="center"/>
              <w:rPr>
                <w:sz w:val="18"/>
                <w:szCs w:val="18"/>
              </w:rPr>
            </w:pPr>
            <w:r>
              <w:rPr>
                <w:sz w:val="18"/>
                <w:szCs w:val="18"/>
              </w:rPr>
              <w:t>表面平整度</w:t>
            </w:r>
          </w:p>
        </w:tc>
        <w:tc>
          <w:tcPr>
            <w:tcW w:w="1081" w:type="pct"/>
            <w:tcBorders>
              <w:right w:val="single" w:color="auto" w:sz="4" w:space="0"/>
            </w:tcBorders>
            <w:vAlign w:val="center"/>
          </w:tcPr>
          <w:p>
            <w:pPr>
              <w:spacing w:line="240" w:lineRule="auto"/>
              <w:jc w:val="center"/>
              <w:rPr>
                <w:sz w:val="18"/>
                <w:szCs w:val="18"/>
              </w:rPr>
            </w:pPr>
            <w:r>
              <w:rPr>
                <w:sz w:val="18"/>
                <w:szCs w:val="18"/>
              </w:rPr>
              <w:t>4</w:t>
            </w:r>
          </w:p>
        </w:tc>
        <w:tc>
          <w:tcPr>
            <w:tcW w:w="2525" w:type="pct"/>
            <w:tcBorders>
              <w:right w:val="single" w:color="auto" w:sz="4" w:space="0"/>
            </w:tcBorders>
            <w:vAlign w:val="center"/>
          </w:tcPr>
          <w:p>
            <w:pPr>
              <w:spacing w:line="240" w:lineRule="auto"/>
              <w:jc w:val="center"/>
              <w:rPr>
                <w:sz w:val="18"/>
                <w:szCs w:val="18"/>
              </w:rPr>
            </w:pPr>
            <w:r>
              <w:rPr>
                <w:sz w:val="18"/>
                <w:szCs w:val="18"/>
              </w:rPr>
              <w:t>用2m靠尺和楔形塞尺检查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394" w:type="pct"/>
            <w:vAlign w:val="center"/>
          </w:tcPr>
          <w:p>
            <w:pPr>
              <w:spacing w:line="240" w:lineRule="auto"/>
              <w:jc w:val="center"/>
              <w:rPr>
                <w:sz w:val="18"/>
                <w:szCs w:val="18"/>
              </w:rPr>
            </w:pPr>
            <w:r>
              <w:rPr>
                <w:sz w:val="18"/>
                <w:szCs w:val="18"/>
              </w:rPr>
              <w:t>踢脚线上口平直</w:t>
            </w:r>
          </w:p>
        </w:tc>
        <w:tc>
          <w:tcPr>
            <w:tcW w:w="1081" w:type="pct"/>
            <w:tcBorders>
              <w:right w:val="single" w:color="auto" w:sz="4" w:space="0"/>
            </w:tcBorders>
            <w:vAlign w:val="center"/>
          </w:tcPr>
          <w:p>
            <w:pPr>
              <w:spacing w:line="240" w:lineRule="auto"/>
              <w:jc w:val="center"/>
              <w:rPr>
                <w:sz w:val="18"/>
                <w:szCs w:val="18"/>
              </w:rPr>
            </w:pPr>
            <w:r>
              <w:rPr>
                <w:sz w:val="18"/>
                <w:szCs w:val="18"/>
              </w:rPr>
              <w:t>4</w:t>
            </w:r>
          </w:p>
        </w:tc>
        <w:tc>
          <w:tcPr>
            <w:tcW w:w="2525" w:type="pct"/>
            <w:tcBorders>
              <w:right w:val="single" w:color="auto" w:sz="4" w:space="0"/>
            </w:tcBorders>
            <w:vAlign w:val="center"/>
          </w:tcPr>
          <w:p>
            <w:pPr>
              <w:spacing w:line="240" w:lineRule="auto"/>
              <w:jc w:val="center"/>
              <w:rPr>
                <w:sz w:val="18"/>
                <w:szCs w:val="18"/>
              </w:rPr>
            </w:pPr>
            <w:r>
              <w:rPr>
                <w:sz w:val="18"/>
                <w:szCs w:val="18"/>
              </w:rPr>
              <w:t>拉5m线和钢直尺检查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394" w:type="pct"/>
            <w:vAlign w:val="center"/>
          </w:tcPr>
          <w:p>
            <w:pPr>
              <w:spacing w:line="240" w:lineRule="auto"/>
              <w:jc w:val="center"/>
              <w:rPr>
                <w:sz w:val="18"/>
                <w:szCs w:val="18"/>
              </w:rPr>
            </w:pPr>
            <w:r>
              <w:rPr>
                <w:sz w:val="18"/>
                <w:szCs w:val="18"/>
              </w:rPr>
              <w:t>缝格平直</w:t>
            </w:r>
          </w:p>
        </w:tc>
        <w:tc>
          <w:tcPr>
            <w:tcW w:w="1081" w:type="pct"/>
            <w:tcBorders>
              <w:right w:val="single" w:color="auto" w:sz="4" w:space="0"/>
            </w:tcBorders>
            <w:vAlign w:val="center"/>
          </w:tcPr>
          <w:p>
            <w:pPr>
              <w:spacing w:line="240" w:lineRule="auto"/>
              <w:jc w:val="center"/>
              <w:rPr>
                <w:sz w:val="18"/>
                <w:szCs w:val="18"/>
              </w:rPr>
            </w:pPr>
            <w:r>
              <w:rPr>
                <w:sz w:val="18"/>
                <w:szCs w:val="18"/>
              </w:rPr>
              <w:t>3</w:t>
            </w:r>
          </w:p>
        </w:tc>
        <w:tc>
          <w:tcPr>
            <w:tcW w:w="2525" w:type="pct"/>
            <w:tcBorders>
              <w:right w:val="single" w:color="auto" w:sz="4" w:space="0"/>
            </w:tcBorders>
            <w:vAlign w:val="center"/>
          </w:tcPr>
          <w:p>
            <w:pPr>
              <w:spacing w:line="240" w:lineRule="auto"/>
              <w:jc w:val="center"/>
              <w:rPr>
                <w:sz w:val="18"/>
                <w:szCs w:val="18"/>
              </w:rPr>
            </w:pPr>
            <w:r>
              <w:rPr>
                <w:sz w:val="18"/>
                <w:szCs w:val="18"/>
              </w:rPr>
              <w:t>拉5m线和钢直尺检查</w:t>
            </w:r>
          </w:p>
        </w:tc>
      </w:tr>
    </w:tbl>
    <w:p>
      <w:pPr>
        <w:pStyle w:val="166"/>
        <w:rPr>
          <w:rFonts w:ascii="Times New Roman"/>
          <w:szCs w:val="21"/>
        </w:rPr>
      </w:pPr>
      <w:r>
        <w:rPr>
          <w:rFonts w:ascii="Times New Roman"/>
          <w:szCs w:val="21"/>
        </w:rPr>
        <w:t>地面砂浆抗压强度试块应按验收批进行评定</w:t>
      </w:r>
      <w:r>
        <w:rPr>
          <w:rFonts w:hint="eastAsia" w:ascii="Times New Roman"/>
          <w:szCs w:val="21"/>
        </w:rPr>
        <w:t>。</w:t>
      </w:r>
      <w:r>
        <w:rPr>
          <w:rFonts w:ascii="Times New Roman"/>
          <w:szCs w:val="21"/>
        </w:rPr>
        <w:t>同一验收批地面砂浆试块抗压强度平均值应</w:t>
      </w:r>
      <w:r>
        <w:rPr>
          <w:rFonts w:hint="eastAsia" w:ascii="Times New Roman"/>
          <w:szCs w:val="21"/>
        </w:rPr>
        <w:t>不小于</w:t>
      </w:r>
      <w:r>
        <w:rPr>
          <w:rFonts w:ascii="Times New Roman"/>
          <w:szCs w:val="21"/>
        </w:rPr>
        <w:t>设计强度等级所对应的立方体抗压强度</w:t>
      </w:r>
      <w:r>
        <w:rPr>
          <w:rFonts w:hint="eastAsia" w:ascii="Times New Roman"/>
          <w:szCs w:val="21"/>
        </w:rPr>
        <w:t>，否则，应判定为不合格。</w:t>
      </w:r>
    </w:p>
    <w:p>
      <w:pPr>
        <w:pStyle w:val="166"/>
        <w:rPr>
          <w:rFonts w:ascii="Times New Roman"/>
          <w:szCs w:val="21"/>
        </w:rPr>
      </w:pPr>
      <w:r>
        <w:rPr>
          <w:rFonts w:ascii="Times New Roman"/>
          <w:szCs w:val="21"/>
        </w:rPr>
        <w:t>地面砂浆工程施工质量验收尚应符合GB 50209</w:t>
      </w:r>
      <w:r>
        <w:rPr>
          <w:rFonts w:hint="eastAsia" w:ascii="Times New Roman"/>
          <w:szCs w:val="21"/>
        </w:rPr>
        <w:t>和GB 50207</w:t>
      </w:r>
      <w:r>
        <w:rPr>
          <w:rFonts w:ascii="Times New Roman"/>
          <w:szCs w:val="21"/>
        </w:rPr>
        <w:t>的规定。</w:t>
      </w:r>
    </w:p>
    <w:p>
      <w:pPr>
        <w:pStyle w:val="106"/>
        <w:spacing w:before="156" w:after="156"/>
      </w:pPr>
      <w:r>
        <w:rPr>
          <w:rFonts w:hint="eastAsia"/>
        </w:rPr>
        <w:t>普通防水砂浆工程</w:t>
      </w:r>
    </w:p>
    <w:p>
      <w:pPr>
        <w:pStyle w:val="166"/>
        <w:rPr>
          <w:rFonts w:ascii="Times New Roman"/>
          <w:szCs w:val="21"/>
        </w:rPr>
      </w:pPr>
      <w:r>
        <w:rPr>
          <w:rFonts w:hint="eastAsia" w:ascii="Times New Roman"/>
          <w:szCs w:val="21"/>
        </w:rPr>
        <w:t>对同一类型、同一品种、同施工条件的砂浆防水层，每1</w:t>
      </w:r>
      <w:r>
        <w:rPr>
          <w:rFonts w:ascii="Times New Roman"/>
          <w:szCs w:val="21"/>
        </w:rPr>
        <w:t>00</w:t>
      </w:r>
      <w:r>
        <w:rPr>
          <w:rFonts w:hint="eastAsia" w:ascii="Times New Roman"/>
          <w:szCs w:val="21"/>
        </w:rPr>
        <w:t>m</w:t>
      </w:r>
      <w:r>
        <w:rPr>
          <w:rFonts w:ascii="Times New Roman"/>
          <w:szCs w:val="21"/>
          <w:vertAlign w:val="superscript"/>
        </w:rPr>
        <w:t>2</w:t>
      </w:r>
      <w:r>
        <w:rPr>
          <w:rFonts w:hint="eastAsia" w:ascii="Times New Roman"/>
          <w:szCs w:val="21"/>
        </w:rPr>
        <w:t>应划分为一个检验批，不足1</w:t>
      </w:r>
      <w:r>
        <w:rPr>
          <w:rFonts w:ascii="Times New Roman"/>
          <w:szCs w:val="21"/>
        </w:rPr>
        <w:t>00</w:t>
      </w:r>
      <w:r>
        <w:rPr>
          <w:rFonts w:hint="eastAsia" w:ascii="Times New Roman"/>
          <w:szCs w:val="21"/>
        </w:rPr>
        <w:t>m</w:t>
      </w:r>
      <w:r>
        <w:rPr>
          <w:rFonts w:ascii="Times New Roman"/>
          <w:szCs w:val="21"/>
          <w:vertAlign w:val="superscript"/>
        </w:rPr>
        <w:t>2</w:t>
      </w:r>
      <w:r>
        <w:rPr>
          <w:rFonts w:hint="eastAsia" w:ascii="Times New Roman"/>
          <w:szCs w:val="21"/>
        </w:rPr>
        <w:t>时，应按一个检验批计；当检测抗渗性能时，检验批可按2</w:t>
      </w:r>
      <w:r>
        <w:rPr>
          <w:rFonts w:ascii="Times New Roman"/>
          <w:szCs w:val="21"/>
        </w:rPr>
        <w:t>00</w:t>
      </w:r>
      <w:r>
        <w:rPr>
          <w:rFonts w:hint="eastAsia" w:ascii="Times New Roman"/>
          <w:szCs w:val="21"/>
        </w:rPr>
        <w:t>m</w:t>
      </w:r>
      <w:r>
        <w:rPr>
          <w:rFonts w:ascii="Times New Roman"/>
          <w:szCs w:val="21"/>
          <w:vertAlign w:val="superscript"/>
        </w:rPr>
        <w:t>2</w:t>
      </w:r>
      <w:r>
        <w:rPr>
          <w:rFonts w:hint="eastAsia" w:ascii="Times New Roman"/>
          <w:szCs w:val="21"/>
        </w:rPr>
        <w:t>划分为一个检验批。</w:t>
      </w:r>
    </w:p>
    <w:p>
      <w:pPr>
        <w:pStyle w:val="166"/>
        <w:rPr>
          <w:rFonts w:ascii="Times New Roman"/>
          <w:szCs w:val="21"/>
        </w:rPr>
      </w:pPr>
      <w:r>
        <w:rPr>
          <w:rFonts w:hint="eastAsia" w:ascii="Times New Roman"/>
          <w:szCs w:val="21"/>
        </w:rPr>
        <w:t>普通防水砂浆工程的外观质量验收应符合下列规定：</w:t>
      </w:r>
    </w:p>
    <w:p>
      <w:pPr>
        <w:pStyle w:val="166"/>
        <w:numPr>
          <w:ilvl w:val="0"/>
          <w:numId w:val="74"/>
        </w:numPr>
        <w:rPr>
          <w:rFonts w:ascii="Times New Roman"/>
          <w:szCs w:val="21"/>
        </w:rPr>
      </w:pPr>
      <w:r>
        <w:rPr>
          <w:rFonts w:hint="eastAsia" w:ascii="Times New Roman"/>
          <w:szCs w:val="21"/>
        </w:rPr>
        <w:t>每检验批应至少抽查一处，每处不得小于1</w:t>
      </w:r>
      <w:r>
        <w:rPr>
          <w:rFonts w:ascii="Times New Roman"/>
          <w:szCs w:val="21"/>
        </w:rPr>
        <w:t>0</w:t>
      </w:r>
      <w:r>
        <w:rPr>
          <w:rFonts w:hint="eastAsia" w:ascii="Times New Roman"/>
          <w:szCs w:val="21"/>
        </w:rPr>
        <w:t>m</w:t>
      </w:r>
      <w:r>
        <w:rPr>
          <w:rFonts w:ascii="Times New Roman"/>
          <w:szCs w:val="21"/>
          <w:vertAlign w:val="superscript"/>
        </w:rPr>
        <w:t>2</w:t>
      </w:r>
      <w:r>
        <w:rPr>
          <w:rFonts w:hint="eastAsia" w:ascii="Times New Roman"/>
          <w:szCs w:val="21"/>
        </w:rPr>
        <w:t>，同一验收批抽查数量不得少于3处；</w:t>
      </w:r>
    </w:p>
    <w:p>
      <w:pPr>
        <w:pStyle w:val="166"/>
        <w:numPr>
          <w:ilvl w:val="0"/>
          <w:numId w:val="74"/>
        </w:numPr>
        <w:rPr>
          <w:rFonts w:ascii="Times New Roman"/>
          <w:szCs w:val="21"/>
        </w:rPr>
      </w:pPr>
      <w:r>
        <w:rPr>
          <w:rFonts w:hint="eastAsia" w:ascii="Times New Roman"/>
          <w:szCs w:val="21"/>
        </w:rPr>
        <w:t>砂浆防水层各层之间应结合牢固、无空鼓；</w:t>
      </w:r>
    </w:p>
    <w:p>
      <w:pPr>
        <w:pStyle w:val="166"/>
        <w:numPr>
          <w:ilvl w:val="0"/>
          <w:numId w:val="74"/>
        </w:numPr>
        <w:rPr>
          <w:rFonts w:ascii="Times New Roman"/>
          <w:szCs w:val="21"/>
        </w:rPr>
      </w:pPr>
      <w:r>
        <w:rPr>
          <w:rFonts w:hint="eastAsia" w:ascii="Times New Roman"/>
          <w:szCs w:val="21"/>
        </w:rPr>
        <w:t>砂浆防水层表面应平整、密实，不得有裂纹、起砂、麻面等缺陷；</w:t>
      </w:r>
    </w:p>
    <w:p>
      <w:pPr>
        <w:pStyle w:val="166"/>
        <w:numPr>
          <w:ilvl w:val="0"/>
          <w:numId w:val="74"/>
        </w:numPr>
        <w:rPr>
          <w:rFonts w:ascii="Times New Roman"/>
          <w:szCs w:val="21"/>
        </w:rPr>
      </w:pPr>
      <w:r>
        <w:rPr>
          <w:rFonts w:hint="eastAsia" w:ascii="Times New Roman"/>
          <w:szCs w:val="21"/>
        </w:rPr>
        <w:t>砂浆防水层的平均厚度应达到设计要求，且最小厚度不得小于设计值的0.85倍。</w:t>
      </w:r>
    </w:p>
    <w:p>
      <w:pPr>
        <w:pStyle w:val="166"/>
        <w:rPr>
          <w:rFonts w:ascii="Times New Roman"/>
          <w:szCs w:val="21"/>
        </w:rPr>
      </w:pPr>
      <w:r>
        <w:rPr>
          <w:rFonts w:hint="eastAsia" w:ascii="Times New Roman"/>
          <w:szCs w:val="21"/>
        </w:rPr>
        <w:t>普通防水</w:t>
      </w:r>
      <w:r>
        <w:rPr>
          <w:rFonts w:ascii="Times New Roman"/>
          <w:szCs w:val="21"/>
        </w:rPr>
        <w:t>砂浆每个检验批应至少留置</w:t>
      </w:r>
      <w:r>
        <w:rPr>
          <w:rFonts w:hint="eastAsia" w:ascii="Times New Roman"/>
          <w:szCs w:val="21"/>
        </w:rPr>
        <w:t>3</w:t>
      </w:r>
      <w:r>
        <w:rPr>
          <w:rFonts w:ascii="Times New Roman"/>
          <w:szCs w:val="21"/>
        </w:rPr>
        <w:t>组抗压强度</w:t>
      </w:r>
      <w:r>
        <w:rPr>
          <w:rFonts w:hint="eastAsia" w:ascii="Times New Roman"/>
          <w:szCs w:val="21"/>
        </w:rPr>
        <w:t>和1组抗渗压力</w:t>
      </w:r>
      <w:r>
        <w:rPr>
          <w:rFonts w:ascii="Times New Roman"/>
          <w:szCs w:val="21"/>
        </w:rPr>
        <w:t>试块。</w:t>
      </w:r>
    </w:p>
    <w:p>
      <w:pPr>
        <w:pStyle w:val="166"/>
        <w:rPr>
          <w:rFonts w:ascii="Times New Roman"/>
          <w:szCs w:val="21"/>
        </w:rPr>
      </w:pPr>
      <w:r>
        <w:rPr>
          <w:rFonts w:hint="eastAsia" w:ascii="Times New Roman"/>
          <w:szCs w:val="21"/>
        </w:rPr>
        <w:t>普通防水砂浆抗压强度应按验收批进行评定，其合格条件应符合下列规定：</w:t>
      </w:r>
    </w:p>
    <w:p>
      <w:pPr>
        <w:pStyle w:val="166"/>
        <w:numPr>
          <w:ilvl w:val="0"/>
          <w:numId w:val="75"/>
        </w:numPr>
        <w:rPr>
          <w:rFonts w:ascii="Times New Roman"/>
          <w:szCs w:val="21"/>
        </w:rPr>
      </w:pPr>
      <w:r>
        <w:rPr>
          <w:rFonts w:hint="eastAsia" w:ascii="Times New Roman"/>
          <w:szCs w:val="21"/>
        </w:rPr>
        <w:t>同一验收批砂浆抗压强度平均值应不小于设计强度等级值的</w:t>
      </w:r>
      <w:r>
        <w:rPr>
          <w:rFonts w:ascii="Times New Roman"/>
          <w:szCs w:val="21"/>
        </w:rPr>
        <w:t>1</w:t>
      </w:r>
      <w:r>
        <w:rPr>
          <w:rFonts w:hint="eastAsia" w:ascii="Times New Roman"/>
          <w:szCs w:val="21"/>
        </w:rPr>
        <w:t>.</w:t>
      </w:r>
      <w:r>
        <w:rPr>
          <w:rFonts w:ascii="Times New Roman"/>
          <w:szCs w:val="21"/>
        </w:rPr>
        <w:t>10</w:t>
      </w:r>
      <w:r>
        <w:rPr>
          <w:rFonts w:hint="eastAsia" w:ascii="Times New Roman"/>
          <w:szCs w:val="21"/>
        </w:rPr>
        <w:t>倍，且最小抗压强度值应不小于设计强度等级的0.85倍；</w:t>
      </w:r>
    </w:p>
    <w:p>
      <w:pPr>
        <w:pStyle w:val="166"/>
        <w:numPr>
          <w:ilvl w:val="0"/>
          <w:numId w:val="75"/>
        </w:numPr>
        <w:rPr>
          <w:rFonts w:ascii="Times New Roman"/>
          <w:szCs w:val="21"/>
        </w:rPr>
      </w:pPr>
      <w:r>
        <w:rPr>
          <w:rFonts w:hint="eastAsia" w:ascii="Times New Roman"/>
          <w:szCs w:val="21"/>
        </w:rPr>
        <w:t>当同一验收批砂浆抗压强度试块少于3组时，每组试块抗压强度值应不小于设计强度等级值的1.10倍。</w:t>
      </w:r>
    </w:p>
    <w:p>
      <w:pPr>
        <w:pStyle w:val="166"/>
        <w:rPr>
          <w:rFonts w:ascii="Times New Roman"/>
          <w:szCs w:val="21"/>
        </w:rPr>
      </w:pPr>
      <w:r>
        <w:rPr>
          <w:rFonts w:hint="eastAsia" w:ascii="Times New Roman"/>
          <w:szCs w:val="21"/>
        </w:rPr>
        <w:t>防水砂浆抗渗压力应按验收批进行评定，每组防水砂浆试块抗渗压力应不小于设计抗渗等级规定的压力值，则判定该批防水砂浆的抗渗压力合格；否则，应判定为不合格。</w:t>
      </w:r>
    </w:p>
    <w:p>
      <w:pPr>
        <w:pStyle w:val="166"/>
        <w:rPr>
          <w:rFonts w:ascii="Times New Roman"/>
          <w:szCs w:val="21"/>
        </w:rPr>
      </w:pPr>
      <w:r>
        <w:rPr>
          <w:rFonts w:ascii="Times New Roman"/>
          <w:szCs w:val="21"/>
        </w:rPr>
        <w:t>普通</w:t>
      </w:r>
      <w:r>
        <w:rPr>
          <w:rFonts w:hint="eastAsia" w:ascii="Times New Roman"/>
          <w:szCs w:val="21"/>
        </w:rPr>
        <w:t>防水</w:t>
      </w:r>
      <w:r>
        <w:rPr>
          <w:rFonts w:ascii="Times New Roman"/>
          <w:szCs w:val="21"/>
        </w:rPr>
        <w:t>砂浆工程施工质量验收尚应符合GB 55030的规定。</w:t>
      </w:r>
      <w:r>
        <w:rPr>
          <w:rFonts w:hint="eastAsia" w:ascii="Times New Roman"/>
          <w:szCs w:val="21"/>
        </w:rPr>
        <w:t>当普通防水砂浆用于地面工程时，施工质量验收还应符合GB 50209的规定</w:t>
      </w:r>
      <w:r>
        <w:rPr>
          <w:rFonts w:ascii="Times New Roman"/>
          <w:szCs w:val="21"/>
        </w:rPr>
        <w:t>。</w:t>
      </w: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0" w:firstLineChars="0"/>
        <w:sectPr>
          <w:pgSz w:w="11906" w:h="16838"/>
          <w:pgMar w:top="567" w:right="1134" w:bottom="1134" w:left="1134" w:header="1418" w:footer="1134" w:gutter="284"/>
          <w:pgNumType w:start="1"/>
          <w:cols w:space="425" w:num="1"/>
          <w:formProt w:val="0"/>
          <w:docGrid w:type="lines" w:linePitch="312" w:charSpace="0"/>
        </w:sectPr>
      </w:pPr>
    </w:p>
    <w:bookmarkEnd w:id="23"/>
    <w:p>
      <w:pPr>
        <w:pStyle w:val="222"/>
        <w:spacing w:before="124" w:after="156"/>
        <w:jc w:val="both"/>
        <w:rPr>
          <w:rFonts w:hint="eastAsia"/>
        </w:rPr>
      </w:pPr>
    </w:p>
    <w:sectPr>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int="eastAsia"/>
      </w:rPr>
    </w:pPr>
    <w:r>
      <w:fldChar w:fldCharType="begin"/>
    </w:r>
    <w:r>
      <w:instrText xml:space="preserve"> STYLEREF  标准文件_文件编号  \* MERGEFORMAT </w:instrText>
    </w:r>
    <w:r>
      <w:fldChar w:fldCharType="separate"/>
    </w:r>
    <w:r>
      <w:t>DBXX/TXXXX—XXXX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instrText xml:space="preserve"> STYLEREF  标准文件_文件编号  \* MERGEFORMAT </w:instrText>
    </w:r>
    <w:r>
      <w:fldChar w:fldCharType="separate"/>
    </w:r>
    <w:r>
      <w:t>DBXX/TXXXX—XXXX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001653"/>
    <w:multiLevelType w:val="multilevel"/>
    <w:tmpl w:val="01001653"/>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5F70C99"/>
    <w:multiLevelType w:val="multilevel"/>
    <w:tmpl w:val="05F70C99"/>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4">
    <w:nsid w:val="068C6AA7"/>
    <w:multiLevelType w:val="multilevel"/>
    <w:tmpl w:val="068C6AA7"/>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5">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8">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CD61491"/>
    <w:multiLevelType w:val="multilevel"/>
    <w:tmpl w:val="0CD61491"/>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10">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1">
    <w:nsid w:val="0F6B3CF3"/>
    <w:multiLevelType w:val="multilevel"/>
    <w:tmpl w:val="0F6B3CF3"/>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12">
    <w:nsid w:val="127957AC"/>
    <w:multiLevelType w:val="multilevel"/>
    <w:tmpl w:val="127957AC"/>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13">
    <w:nsid w:val="15743C63"/>
    <w:multiLevelType w:val="multilevel"/>
    <w:tmpl w:val="15743C63"/>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14">
    <w:nsid w:val="16A90637"/>
    <w:multiLevelType w:val="multilevel"/>
    <w:tmpl w:val="16A90637"/>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15">
    <w:nsid w:val="16F30C0E"/>
    <w:multiLevelType w:val="multilevel"/>
    <w:tmpl w:val="16F30C0E"/>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16">
    <w:nsid w:val="17490E55"/>
    <w:multiLevelType w:val="multilevel"/>
    <w:tmpl w:val="17490E55"/>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17">
    <w:nsid w:val="176F275E"/>
    <w:multiLevelType w:val="multilevel"/>
    <w:tmpl w:val="176F275E"/>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18">
    <w:nsid w:val="189A0953"/>
    <w:multiLevelType w:val="multilevel"/>
    <w:tmpl w:val="189A0953"/>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19">
    <w:nsid w:val="197C559A"/>
    <w:multiLevelType w:val="multilevel"/>
    <w:tmpl w:val="197C559A"/>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20">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1C6B7346"/>
    <w:multiLevelType w:val="multilevel"/>
    <w:tmpl w:val="1C6B7346"/>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23">
    <w:nsid w:val="1D81025F"/>
    <w:multiLevelType w:val="multilevel"/>
    <w:tmpl w:val="1D81025F"/>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24">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25">
    <w:nsid w:val="1EFD7549"/>
    <w:multiLevelType w:val="multilevel"/>
    <w:tmpl w:val="1EFD7549"/>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26">
    <w:nsid w:val="29E31BF5"/>
    <w:multiLevelType w:val="multilevel"/>
    <w:tmpl w:val="29E31BF5"/>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27">
    <w:nsid w:val="2ACD44CE"/>
    <w:multiLevelType w:val="multilevel"/>
    <w:tmpl w:val="2ACD44CE"/>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28">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9">
    <w:nsid w:val="2FE35448"/>
    <w:multiLevelType w:val="multilevel"/>
    <w:tmpl w:val="2FE35448"/>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30">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1">
    <w:nsid w:val="3B195DA0"/>
    <w:multiLevelType w:val="multilevel"/>
    <w:tmpl w:val="3B195DA0"/>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32">
    <w:nsid w:val="415E7E08"/>
    <w:multiLevelType w:val="multilevel"/>
    <w:tmpl w:val="415E7E08"/>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3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4">
    <w:nsid w:val="46A84BB9"/>
    <w:multiLevelType w:val="multilevel"/>
    <w:tmpl w:val="46A84BB9"/>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35">
    <w:nsid w:val="47D74C14"/>
    <w:multiLevelType w:val="multilevel"/>
    <w:tmpl w:val="47D74C14"/>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36">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7">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8">
    <w:nsid w:val="4E042F4A"/>
    <w:multiLevelType w:val="multilevel"/>
    <w:tmpl w:val="4E042F4A"/>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39">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0">
    <w:nsid w:val="4EA55CBC"/>
    <w:multiLevelType w:val="multilevel"/>
    <w:tmpl w:val="4EA55CBC"/>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41">
    <w:nsid w:val="530B16A8"/>
    <w:multiLevelType w:val="multilevel"/>
    <w:tmpl w:val="530B16A8"/>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42">
    <w:nsid w:val="53360CBF"/>
    <w:multiLevelType w:val="multilevel"/>
    <w:tmpl w:val="53360CBF"/>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43">
    <w:nsid w:val="5375691D"/>
    <w:multiLevelType w:val="multilevel"/>
    <w:tmpl w:val="5375691D"/>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44">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45">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6">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7">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8">
    <w:nsid w:val="58284CC4"/>
    <w:multiLevelType w:val="multilevel"/>
    <w:tmpl w:val="58284CC4"/>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49">
    <w:nsid w:val="58947151"/>
    <w:multiLevelType w:val="multilevel"/>
    <w:tmpl w:val="58947151"/>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50">
    <w:nsid w:val="5B6C79AC"/>
    <w:multiLevelType w:val="multilevel"/>
    <w:tmpl w:val="5B6C79AC"/>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51">
    <w:nsid w:val="5C0C0D7C"/>
    <w:multiLevelType w:val="multilevel"/>
    <w:tmpl w:val="5C0C0D7C"/>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52">
    <w:nsid w:val="5C212462"/>
    <w:multiLevelType w:val="multilevel"/>
    <w:tmpl w:val="5C212462"/>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53">
    <w:nsid w:val="5CB70F87"/>
    <w:multiLevelType w:val="multilevel"/>
    <w:tmpl w:val="5CB70F87"/>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54">
    <w:nsid w:val="62720E4B"/>
    <w:multiLevelType w:val="multilevel"/>
    <w:tmpl w:val="62720E4B"/>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55">
    <w:nsid w:val="63DB21A0"/>
    <w:multiLevelType w:val="multilevel"/>
    <w:tmpl w:val="63DB21A0"/>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56">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57">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8">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59">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0">
    <w:nsid w:val="65E4324A"/>
    <w:multiLevelType w:val="multilevel"/>
    <w:tmpl w:val="65E4324A"/>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61">
    <w:nsid w:val="680C67CD"/>
    <w:multiLevelType w:val="multilevel"/>
    <w:tmpl w:val="680C67CD"/>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62">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63">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4">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5">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6">
    <w:nsid w:val="6D941147"/>
    <w:multiLevelType w:val="multilevel"/>
    <w:tmpl w:val="6D941147"/>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67">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68">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69">
    <w:nsid w:val="6F3E7BB4"/>
    <w:multiLevelType w:val="multilevel"/>
    <w:tmpl w:val="6F3E7BB4"/>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70">
    <w:nsid w:val="718546E5"/>
    <w:multiLevelType w:val="multilevel"/>
    <w:tmpl w:val="718546E5"/>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71">
    <w:nsid w:val="73CA645C"/>
    <w:multiLevelType w:val="multilevel"/>
    <w:tmpl w:val="73CA645C"/>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7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3">
    <w:nsid w:val="79E76AEA"/>
    <w:multiLevelType w:val="multilevel"/>
    <w:tmpl w:val="79E76AEA"/>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74">
    <w:nsid w:val="7F8E43BA"/>
    <w:multiLevelType w:val="multilevel"/>
    <w:tmpl w:val="7F8E43BA"/>
    <w:lvl w:ilvl="0" w:tentative="0">
      <w:start w:val="1"/>
      <w:numFmt w:val="lowerLetter"/>
      <w:lvlText w:val="%1)"/>
      <w:lvlJc w:val="left"/>
      <w:pPr>
        <w:ind w:left="786" w:hanging="360"/>
      </w:pPr>
      <w:rPr>
        <w:rFonts w:hint="default"/>
      </w:r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num w:numId="1">
    <w:abstractNumId w:val="1"/>
  </w:num>
  <w:num w:numId="2">
    <w:abstractNumId w:val="65"/>
  </w:num>
  <w:num w:numId="3">
    <w:abstractNumId w:val="8"/>
  </w:num>
  <w:num w:numId="4">
    <w:abstractNumId w:val="59"/>
  </w:num>
  <w:num w:numId="5">
    <w:abstractNumId w:val="46"/>
  </w:num>
  <w:num w:numId="6">
    <w:abstractNumId w:val="36"/>
  </w:num>
  <w:num w:numId="7">
    <w:abstractNumId w:val="21"/>
  </w:num>
  <w:num w:numId="8">
    <w:abstractNumId w:val="6"/>
  </w:num>
  <w:num w:numId="9">
    <w:abstractNumId w:val="24"/>
  </w:num>
  <w:num w:numId="10">
    <w:abstractNumId w:val="44"/>
  </w:num>
  <w:num w:numId="11">
    <w:abstractNumId w:val="63"/>
  </w:num>
  <w:num w:numId="12">
    <w:abstractNumId w:val="30"/>
  </w:num>
  <w:num w:numId="13">
    <w:abstractNumId w:val="33"/>
  </w:num>
  <w:num w:numId="14">
    <w:abstractNumId w:val="20"/>
  </w:num>
  <w:num w:numId="15">
    <w:abstractNumId w:val="47"/>
  </w:num>
  <w:num w:numId="16">
    <w:abstractNumId w:val="57"/>
  </w:num>
  <w:num w:numId="17">
    <w:abstractNumId w:val="45"/>
  </w:num>
  <w:num w:numId="18">
    <w:abstractNumId w:val="68"/>
  </w:num>
  <w:num w:numId="19">
    <w:abstractNumId w:val="39"/>
  </w:num>
  <w:num w:numId="20">
    <w:abstractNumId w:val="2"/>
  </w:num>
  <w:num w:numId="21">
    <w:abstractNumId w:val="28"/>
  </w:num>
  <w:num w:numId="22">
    <w:abstractNumId w:val="72"/>
  </w:num>
  <w:num w:numId="23">
    <w:abstractNumId w:val="56"/>
  </w:num>
  <w:num w:numId="24">
    <w:abstractNumId w:val="10"/>
  </w:num>
  <w:num w:numId="25">
    <w:abstractNumId w:val="64"/>
  </w:num>
  <w:num w:numId="26">
    <w:abstractNumId w:val="67"/>
  </w:num>
  <w:num w:numId="27">
    <w:abstractNumId w:val="5"/>
  </w:num>
  <w:num w:numId="28">
    <w:abstractNumId w:val="7"/>
  </w:num>
  <w:num w:numId="29">
    <w:abstractNumId w:val="37"/>
  </w:num>
  <w:num w:numId="30">
    <w:abstractNumId w:val="62"/>
  </w:num>
  <w:num w:numId="31">
    <w:abstractNumId w:val="58"/>
  </w:num>
  <w:num w:numId="32">
    <w:abstractNumId w:val="14"/>
  </w:num>
  <w:num w:numId="33">
    <w:abstractNumId w:val="53"/>
  </w:num>
  <w:num w:numId="34">
    <w:abstractNumId w:val="11"/>
  </w:num>
  <w:num w:numId="35">
    <w:abstractNumId w:val="23"/>
  </w:num>
  <w:num w:numId="36">
    <w:abstractNumId w:val="38"/>
  </w:num>
  <w:num w:numId="37">
    <w:abstractNumId w:val="42"/>
  </w:num>
  <w:num w:numId="38">
    <w:abstractNumId w:val="61"/>
  </w:num>
  <w:num w:numId="39">
    <w:abstractNumId w:val="0"/>
  </w:num>
  <w:num w:numId="40">
    <w:abstractNumId w:val="50"/>
  </w:num>
  <w:num w:numId="41">
    <w:abstractNumId w:val="60"/>
  </w:num>
  <w:num w:numId="42">
    <w:abstractNumId w:val="43"/>
  </w:num>
  <w:num w:numId="43">
    <w:abstractNumId w:val="27"/>
  </w:num>
  <w:num w:numId="44">
    <w:abstractNumId w:val="9"/>
  </w:num>
  <w:num w:numId="45">
    <w:abstractNumId w:val="66"/>
  </w:num>
  <w:num w:numId="46">
    <w:abstractNumId w:val="19"/>
  </w:num>
  <w:num w:numId="47">
    <w:abstractNumId w:val="26"/>
  </w:num>
  <w:num w:numId="48">
    <w:abstractNumId w:val="18"/>
  </w:num>
  <w:num w:numId="49">
    <w:abstractNumId w:val="34"/>
  </w:num>
  <w:num w:numId="50">
    <w:abstractNumId w:val="48"/>
  </w:num>
  <w:num w:numId="51">
    <w:abstractNumId w:val="54"/>
  </w:num>
  <w:num w:numId="52">
    <w:abstractNumId w:val="22"/>
  </w:num>
  <w:num w:numId="53">
    <w:abstractNumId w:val="32"/>
  </w:num>
  <w:num w:numId="54">
    <w:abstractNumId w:val="17"/>
  </w:num>
  <w:num w:numId="55">
    <w:abstractNumId w:val="4"/>
  </w:num>
  <w:num w:numId="56">
    <w:abstractNumId w:val="41"/>
  </w:num>
  <w:num w:numId="57">
    <w:abstractNumId w:val="35"/>
  </w:num>
  <w:num w:numId="58">
    <w:abstractNumId w:val="73"/>
  </w:num>
  <w:num w:numId="59">
    <w:abstractNumId w:val="15"/>
  </w:num>
  <w:num w:numId="60">
    <w:abstractNumId w:val="51"/>
  </w:num>
  <w:num w:numId="61">
    <w:abstractNumId w:val="69"/>
  </w:num>
  <w:num w:numId="62">
    <w:abstractNumId w:val="52"/>
  </w:num>
  <w:num w:numId="63">
    <w:abstractNumId w:val="74"/>
  </w:num>
  <w:num w:numId="64">
    <w:abstractNumId w:val="3"/>
  </w:num>
  <w:num w:numId="65">
    <w:abstractNumId w:val="40"/>
  </w:num>
  <w:num w:numId="66">
    <w:abstractNumId w:val="49"/>
  </w:num>
  <w:num w:numId="67">
    <w:abstractNumId w:val="16"/>
  </w:num>
  <w:num w:numId="68">
    <w:abstractNumId w:val="71"/>
  </w:num>
  <w:num w:numId="69">
    <w:abstractNumId w:val="12"/>
  </w:num>
  <w:num w:numId="70">
    <w:abstractNumId w:val="29"/>
  </w:num>
  <w:num w:numId="71">
    <w:abstractNumId w:val="13"/>
  </w:num>
  <w:num w:numId="72">
    <w:abstractNumId w:val="70"/>
  </w:num>
  <w:num w:numId="73">
    <w:abstractNumId w:val="25"/>
  </w:num>
  <w:num w:numId="74">
    <w:abstractNumId w:val="31"/>
  </w:num>
  <w:num w:numId="75">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72A77"/>
    <w:rsid w:val="0000040A"/>
    <w:rsid w:val="00000A94"/>
    <w:rsid w:val="00001972"/>
    <w:rsid w:val="00001D9A"/>
    <w:rsid w:val="00007B3A"/>
    <w:rsid w:val="000107E0"/>
    <w:rsid w:val="00011FDE"/>
    <w:rsid w:val="00012FFD"/>
    <w:rsid w:val="00014162"/>
    <w:rsid w:val="00014340"/>
    <w:rsid w:val="00016A9C"/>
    <w:rsid w:val="000209B9"/>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1040"/>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5A0"/>
    <w:rsid w:val="000C7666"/>
    <w:rsid w:val="000D0A9C"/>
    <w:rsid w:val="000D1795"/>
    <w:rsid w:val="000D329A"/>
    <w:rsid w:val="000D4B9C"/>
    <w:rsid w:val="000D4EB6"/>
    <w:rsid w:val="000D6299"/>
    <w:rsid w:val="000D753B"/>
    <w:rsid w:val="000E4C9E"/>
    <w:rsid w:val="000E604F"/>
    <w:rsid w:val="000E6FD7"/>
    <w:rsid w:val="000F06E1"/>
    <w:rsid w:val="000F0E3C"/>
    <w:rsid w:val="000F19D5"/>
    <w:rsid w:val="000F4AEA"/>
    <w:rsid w:val="000F633F"/>
    <w:rsid w:val="000F67E9"/>
    <w:rsid w:val="00104926"/>
    <w:rsid w:val="00106DA4"/>
    <w:rsid w:val="00113B1E"/>
    <w:rsid w:val="0011711C"/>
    <w:rsid w:val="00117C6F"/>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D12"/>
    <w:rsid w:val="00165F49"/>
    <w:rsid w:val="00166B88"/>
    <w:rsid w:val="0016770A"/>
    <w:rsid w:val="001678E2"/>
    <w:rsid w:val="00170804"/>
    <w:rsid w:val="001708E9"/>
    <w:rsid w:val="0017340B"/>
    <w:rsid w:val="00173FB1"/>
    <w:rsid w:val="00176DFD"/>
    <w:rsid w:val="00184F3B"/>
    <w:rsid w:val="001852C9"/>
    <w:rsid w:val="00185B88"/>
    <w:rsid w:val="00185EAE"/>
    <w:rsid w:val="00190087"/>
    <w:rsid w:val="001913C4"/>
    <w:rsid w:val="0019348F"/>
    <w:rsid w:val="00193A07"/>
    <w:rsid w:val="00194C95"/>
    <w:rsid w:val="001954B1"/>
    <w:rsid w:val="00195C34"/>
    <w:rsid w:val="00196EF5"/>
    <w:rsid w:val="001A1A53"/>
    <w:rsid w:val="001A234A"/>
    <w:rsid w:val="001A4CF3"/>
    <w:rsid w:val="001B04E9"/>
    <w:rsid w:val="001B06E8"/>
    <w:rsid w:val="001B71D0"/>
    <w:rsid w:val="001B71EE"/>
    <w:rsid w:val="001C04A8"/>
    <w:rsid w:val="001C2C03"/>
    <w:rsid w:val="001C2DBD"/>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6CD3"/>
    <w:rsid w:val="001F77C7"/>
    <w:rsid w:val="001F7E1A"/>
    <w:rsid w:val="00200183"/>
    <w:rsid w:val="00200333"/>
    <w:rsid w:val="002006F7"/>
    <w:rsid w:val="0020107D"/>
    <w:rsid w:val="00202AA4"/>
    <w:rsid w:val="002031F7"/>
    <w:rsid w:val="002040E6"/>
    <w:rsid w:val="0020527B"/>
    <w:rsid w:val="00205F2C"/>
    <w:rsid w:val="00210B15"/>
    <w:rsid w:val="002142EA"/>
    <w:rsid w:val="002204BB"/>
    <w:rsid w:val="00221384"/>
    <w:rsid w:val="00221B79"/>
    <w:rsid w:val="00221C6B"/>
    <w:rsid w:val="002253A1"/>
    <w:rsid w:val="00225CF8"/>
    <w:rsid w:val="0022794E"/>
    <w:rsid w:val="00233D64"/>
    <w:rsid w:val="0023482A"/>
    <w:rsid w:val="00234D8F"/>
    <w:rsid w:val="002359CB"/>
    <w:rsid w:val="00243540"/>
    <w:rsid w:val="0024497B"/>
    <w:rsid w:val="0024515B"/>
    <w:rsid w:val="00246021"/>
    <w:rsid w:val="0024666E"/>
    <w:rsid w:val="00247F52"/>
    <w:rsid w:val="00250B25"/>
    <w:rsid w:val="00250BBE"/>
    <w:rsid w:val="002514E0"/>
    <w:rsid w:val="002515C2"/>
    <w:rsid w:val="0025194F"/>
    <w:rsid w:val="00260B75"/>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5D66"/>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611"/>
    <w:rsid w:val="002B5779"/>
    <w:rsid w:val="002B7332"/>
    <w:rsid w:val="002B7F51"/>
    <w:rsid w:val="002C09E7"/>
    <w:rsid w:val="002C1E06"/>
    <w:rsid w:val="002C1E1C"/>
    <w:rsid w:val="002C3F07"/>
    <w:rsid w:val="002C5278"/>
    <w:rsid w:val="002C7EBB"/>
    <w:rsid w:val="002D06C1"/>
    <w:rsid w:val="002D14D9"/>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5FB8"/>
    <w:rsid w:val="003474AA"/>
    <w:rsid w:val="00350D1D"/>
    <w:rsid w:val="00352C83"/>
    <w:rsid w:val="00361257"/>
    <w:rsid w:val="003615D2"/>
    <w:rsid w:val="0036429C"/>
    <w:rsid w:val="00364A53"/>
    <w:rsid w:val="003654CB"/>
    <w:rsid w:val="00365AA9"/>
    <w:rsid w:val="00365F86"/>
    <w:rsid w:val="00365F87"/>
    <w:rsid w:val="00366E89"/>
    <w:rsid w:val="003705F4"/>
    <w:rsid w:val="00370D58"/>
    <w:rsid w:val="00371316"/>
    <w:rsid w:val="00376713"/>
    <w:rsid w:val="003810D0"/>
    <w:rsid w:val="00381815"/>
    <w:rsid w:val="003819AF"/>
    <w:rsid w:val="003820E9"/>
    <w:rsid w:val="00382DE7"/>
    <w:rsid w:val="0038442F"/>
    <w:rsid w:val="00384FFC"/>
    <w:rsid w:val="003872FC"/>
    <w:rsid w:val="00387ADC"/>
    <w:rsid w:val="00390020"/>
    <w:rsid w:val="003903D6"/>
    <w:rsid w:val="00390960"/>
    <w:rsid w:val="00390EE6"/>
    <w:rsid w:val="0039118F"/>
    <w:rsid w:val="00392AD7"/>
    <w:rsid w:val="003938D9"/>
    <w:rsid w:val="00394376"/>
    <w:rsid w:val="003943FF"/>
    <w:rsid w:val="00395700"/>
    <w:rsid w:val="003974EB"/>
    <w:rsid w:val="00397CC5"/>
    <w:rsid w:val="003A1582"/>
    <w:rsid w:val="003A4077"/>
    <w:rsid w:val="003A6930"/>
    <w:rsid w:val="003B09AD"/>
    <w:rsid w:val="003B1F18"/>
    <w:rsid w:val="003B5BF0"/>
    <w:rsid w:val="003B60BF"/>
    <w:rsid w:val="003B6208"/>
    <w:rsid w:val="003B6BE3"/>
    <w:rsid w:val="003C010C"/>
    <w:rsid w:val="003C0A6C"/>
    <w:rsid w:val="003C14F8"/>
    <w:rsid w:val="003C5A43"/>
    <w:rsid w:val="003D0519"/>
    <w:rsid w:val="003D0FF6"/>
    <w:rsid w:val="003D262C"/>
    <w:rsid w:val="003D6D61"/>
    <w:rsid w:val="003D70D0"/>
    <w:rsid w:val="003E091D"/>
    <w:rsid w:val="003E1C53"/>
    <w:rsid w:val="003E1F97"/>
    <w:rsid w:val="003E2A69"/>
    <w:rsid w:val="003E2D49"/>
    <w:rsid w:val="003E2FD4"/>
    <w:rsid w:val="003E49F6"/>
    <w:rsid w:val="003E660F"/>
    <w:rsid w:val="003F0841"/>
    <w:rsid w:val="003F23D3"/>
    <w:rsid w:val="003F3F08"/>
    <w:rsid w:val="003F49F1"/>
    <w:rsid w:val="003F6272"/>
    <w:rsid w:val="00400E72"/>
    <w:rsid w:val="00401400"/>
    <w:rsid w:val="004032E2"/>
    <w:rsid w:val="00404869"/>
    <w:rsid w:val="00405884"/>
    <w:rsid w:val="00407878"/>
    <w:rsid w:val="00407D39"/>
    <w:rsid w:val="0041477A"/>
    <w:rsid w:val="004152ED"/>
    <w:rsid w:val="004167A3"/>
    <w:rsid w:val="00416F71"/>
    <w:rsid w:val="00432DAA"/>
    <w:rsid w:val="00434305"/>
    <w:rsid w:val="00435DF7"/>
    <w:rsid w:val="0044083F"/>
    <w:rsid w:val="00441AE7"/>
    <w:rsid w:val="00445574"/>
    <w:rsid w:val="004467FB"/>
    <w:rsid w:val="00446AB7"/>
    <w:rsid w:val="00452D6B"/>
    <w:rsid w:val="00454484"/>
    <w:rsid w:val="0045513D"/>
    <w:rsid w:val="0045517B"/>
    <w:rsid w:val="00463B77"/>
    <w:rsid w:val="00463C7B"/>
    <w:rsid w:val="004644A6"/>
    <w:rsid w:val="004659BD"/>
    <w:rsid w:val="00470775"/>
    <w:rsid w:val="00471A37"/>
    <w:rsid w:val="00473F6A"/>
    <w:rsid w:val="004746B1"/>
    <w:rsid w:val="0047583F"/>
    <w:rsid w:val="00475DE8"/>
    <w:rsid w:val="004762C6"/>
    <w:rsid w:val="00481C44"/>
    <w:rsid w:val="00484936"/>
    <w:rsid w:val="00485C89"/>
    <w:rsid w:val="00486BE3"/>
    <w:rsid w:val="0048731B"/>
    <w:rsid w:val="004905E4"/>
    <w:rsid w:val="00490A89"/>
    <w:rsid w:val="00490AB4"/>
    <w:rsid w:val="00492F02"/>
    <w:rsid w:val="004939AE"/>
    <w:rsid w:val="00497B63"/>
    <w:rsid w:val="004A12DF"/>
    <w:rsid w:val="004A17E6"/>
    <w:rsid w:val="004A1BA8"/>
    <w:rsid w:val="004A4B57"/>
    <w:rsid w:val="004A63FA"/>
    <w:rsid w:val="004B0272"/>
    <w:rsid w:val="004B1075"/>
    <w:rsid w:val="004B2701"/>
    <w:rsid w:val="004B2E1B"/>
    <w:rsid w:val="004B3AA8"/>
    <w:rsid w:val="004B3D8E"/>
    <w:rsid w:val="004B3E93"/>
    <w:rsid w:val="004C1FBC"/>
    <w:rsid w:val="004C3F1D"/>
    <w:rsid w:val="004C458D"/>
    <w:rsid w:val="004C7556"/>
    <w:rsid w:val="004C7E8B"/>
    <w:rsid w:val="004C7E9D"/>
    <w:rsid w:val="004C7F0A"/>
    <w:rsid w:val="004C7F67"/>
    <w:rsid w:val="004D076D"/>
    <w:rsid w:val="004D0EF1"/>
    <w:rsid w:val="004D2253"/>
    <w:rsid w:val="004D31B8"/>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472"/>
    <w:rsid w:val="0050363E"/>
    <w:rsid w:val="005039BC"/>
    <w:rsid w:val="005043BB"/>
    <w:rsid w:val="00504A3D"/>
    <w:rsid w:val="00505767"/>
    <w:rsid w:val="005073F0"/>
    <w:rsid w:val="00510A7B"/>
    <w:rsid w:val="00512F6E"/>
    <w:rsid w:val="00513038"/>
    <w:rsid w:val="005133FB"/>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1D95"/>
    <w:rsid w:val="00543BDA"/>
    <w:rsid w:val="005441CC"/>
    <w:rsid w:val="005479DA"/>
    <w:rsid w:val="00547BCC"/>
    <w:rsid w:val="0055013B"/>
    <w:rsid w:val="00551F6F"/>
    <w:rsid w:val="00555044"/>
    <w:rsid w:val="00555863"/>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0FB2"/>
    <w:rsid w:val="005A11B7"/>
    <w:rsid w:val="005A260B"/>
    <w:rsid w:val="005A4A1B"/>
    <w:rsid w:val="005A5164"/>
    <w:rsid w:val="005A6D76"/>
    <w:rsid w:val="005A7590"/>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856"/>
    <w:rsid w:val="005D6A95"/>
    <w:rsid w:val="005D6B2C"/>
    <w:rsid w:val="005D6D9C"/>
    <w:rsid w:val="005E2335"/>
    <w:rsid w:val="005E34CA"/>
    <w:rsid w:val="005E3C18"/>
    <w:rsid w:val="005E6812"/>
    <w:rsid w:val="005E7881"/>
    <w:rsid w:val="005E78E0"/>
    <w:rsid w:val="005F0D9C"/>
    <w:rsid w:val="005F284E"/>
    <w:rsid w:val="005F4712"/>
    <w:rsid w:val="006015CE"/>
    <w:rsid w:val="00603797"/>
    <w:rsid w:val="00604784"/>
    <w:rsid w:val="00606419"/>
    <w:rsid w:val="00607D29"/>
    <w:rsid w:val="00612952"/>
    <w:rsid w:val="00614CC1"/>
    <w:rsid w:val="00615A9D"/>
    <w:rsid w:val="00617387"/>
    <w:rsid w:val="006205D6"/>
    <w:rsid w:val="00620675"/>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741C"/>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070"/>
    <w:rsid w:val="00765C43"/>
    <w:rsid w:val="00765EFB"/>
    <w:rsid w:val="007671CA"/>
    <w:rsid w:val="00767C61"/>
    <w:rsid w:val="0077008A"/>
    <w:rsid w:val="00773C1F"/>
    <w:rsid w:val="00774DA4"/>
    <w:rsid w:val="00776599"/>
    <w:rsid w:val="0078114B"/>
    <w:rsid w:val="00781DD2"/>
    <w:rsid w:val="00783ECF"/>
    <w:rsid w:val="0078413A"/>
    <w:rsid w:val="00791667"/>
    <w:rsid w:val="007930AA"/>
    <w:rsid w:val="007959E8"/>
    <w:rsid w:val="00795E9C"/>
    <w:rsid w:val="007A0521"/>
    <w:rsid w:val="007A2E12"/>
    <w:rsid w:val="007A3475"/>
    <w:rsid w:val="007A41C8"/>
    <w:rsid w:val="007A54CE"/>
    <w:rsid w:val="007A6FD9"/>
    <w:rsid w:val="007A7FFA"/>
    <w:rsid w:val="007B04EB"/>
    <w:rsid w:val="007B0D4F"/>
    <w:rsid w:val="007B41F7"/>
    <w:rsid w:val="007B5A3D"/>
    <w:rsid w:val="007B5B95"/>
    <w:rsid w:val="007B68EA"/>
    <w:rsid w:val="007B7453"/>
    <w:rsid w:val="007C1E8B"/>
    <w:rsid w:val="007C2D89"/>
    <w:rsid w:val="007C4593"/>
    <w:rsid w:val="007C5309"/>
    <w:rsid w:val="007C5A68"/>
    <w:rsid w:val="007C6069"/>
    <w:rsid w:val="007D06C4"/>
    <w:rsid w:val="007D1257"/>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0980"/>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647D"/>
    <w:rsid w:val="00883F93"/>
    <w:rsid w:val="00884DB3"/>
    <w:rsid w:val="00885A9D"/>
    <w:rsid w:val="008864F6"/>
    <w:rsid w:val="008901DB"/>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1EFB"/>
    <w:rsid w:val="008C219C"/>
    <w:rsid w:val="008C475E"/>
    <w:rsid w:val="008C619A"/>
    <w:rsid w:val="008D0CE8"/>
    <w:rsid w:val="008D2D1D"/>
    <w:rsid w:val="008D453D"/>
    <w:rsid w:val="008D53AD"/>
    <w:rsid w:val="008D562B"/>
    <w:rsid w:val="008D5733"/>
    <w:rsid w:val="008D622B"/>
    <w:rsid w:val="008D666C"/>
    <w:rsid w:val="008D6851"/>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7308"/>
    <w:rsid w:val="009429D5"/>
    <w:rsid w:val="00942B3F"/>
    <w:rsid w:val="00942BF1"/>
    <w:rsid w:val="00945180"/>
    <w:rsid w:val="00945428"/>
    <w:rsid w:val="0094607B"/>
    <w:rsid w:val="00950C81"/>
    <w:rsid w:val="00953604"/>
    <w:rsid w:val="0095496B"/>
    <w:rsid w:val="009610DC"/>
    <w:rsid w:val="00961490"/>
    <w:rsid w:val="0096381A"/>
    <w:rsid w:val="00965E04"/>
    <w:rsid w:val="009674AD"/>
    <w:rsid w:val="00970CDC"/>
    <w:rsid w:val="00972A77"/>
    <w:rsid w:val="00973BE0"/>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C7854"/>
    <w:rsid w:val="009D112C"/>
    <w:rsid w:val="009D47FA"/>
    <w:rsid w:val="009D4C5B"/>
    <w:rsid w:val="009D50D2"/>
    <w:rsid w:val="009D61F8"/>
    <w:rsid w:val="009D6BCA"/>
    <w:rsid w:val="009E0F62"/>
    <w:rsid w:val="009E4A58"/>
    <w:rsid w:val="009E5A2D"/>
    <w:rsid w:val="009E5AB2"/>
    <w:rsid w:val="009E6219"/>
    <w:rsid w:val="009F03B3"/>
    <w:rsid w:val="009F3753"/>
    <w:rsid w:val="009F6C1A"/>
    <w:rsid w:val="00A0096C"/>
    <w:rsid w:val="00A01757"/>
    <w:rsid w:val="00A028C0"/>
    <w:rsid w:val="00A02BAE"/>
    <w:rsid w:val="00A06A6B"/>
    <w:rsid w:val="00A07E47"/>
    <w:rsid w:val="00A129D0"/>
    <w:rsid w:val="00A12C33"/>
    <w:rsid w:val="00A138BA"/>
    <w:rsid w:val="00A14C8E"/>
    <w:rsid w:val="00A153D9"/>
    <w:rsid w:val="00A15F09"/>
    <w:rsid w:val="00A169B6"/>
    <w:rsid w:val="00A20B7D"/>
    <w:rsid w:val="00A2271D"/>
    <w:rsid w:val="00A237D5"/>
    <w:rsid w:val="00A30EFC"/>
    <w:rsid w:val="00A31984"/>
    <w:rsid w:val="00A32D73"/>
    <w:rsid w:val="00A32F9C"/>
    <w:rsid w:val="00A3367B"/>
    <w:rsid w:val="00A3597D"/>
    <w:rsid w:val="00A36DD1"/>
    <w:rsid w:val="00A4006C"/>
    <w:rsid w:val="00A40091"/>
    <w:rsid w:val="00A4030F"/>
    <w:rsid w:val="00A41C79"/>
    <w:rsid w:val="00A41CB5"/>
    <w:rsid w:val="00A424C6"/>
    <w:rsid w:val="00A42CDF"/>
    <w:rsid w:val="00A4452E"/>
    <w:rsid w:val="00A4472C"/>
    <w:rsid w:val="00A44E69"/>
    <w:rsid w:val="00A4661E"/>
    <w:rsid w:val="00A55BD6"/>
    <w:rsid w:val="00A55D50"/>
    <w:rsid w:val="00A57142"/>
    <w:rsid w:val="00A648CD"/>
    <w:rsid w:val="00A6537A"/>
    <w:rsid w:val="00A666FC"/>
    <w:rsid w:val="00A67866"/>
    <w:rsid w:val="00A70B07"/>
    <w:rsid w:val="00A723F8"/>
    <w:rsid w:val="00A77CCB"/>
    <w:rsid w:val="00A808AC"/>
    <w:rsid w:val="00A83D8D"/>
    <w:rsid w:val="00A8446B"/>
    <w:rsid w:val="00A8473F"/>
    <w:rsid w:val="00A862D6"/>
    <w:rsid w:val="00A8715E"/>
    <w:rsid w:val="00A9295B"/>
    <w:rsid w:val="00A93B09"/>
    <w:rsid w:val="00A94247"/>
    <w:rsid w:val="00A951D7"/>
    <w:rsid w:val="00A952D7"/>
    <w:rsid w:val="00A963F7"/>
    <w:rsid w:val="00A96AD8"/>
    <w:rsid w:val="00AA052C"/>
    <w:rsid w:val="00AA1E45"/>
    <w:rsid w:val="00AA4286"/>
    <w:rsid w:val="00AA456B"/>
    <w:rsid w:val="00AA57F5"/>
    <w:rsid w:val="00AA672E"/>
    <w:rsid w:val="00AA6EC9"/>
    <w:rsid w:val="00AB41D5"/>
    <w:rsid w:val="00AB4362"/>
    <w:rsid w:val="00AB6309"/>
    <w:rsid w:val="00AB6C5F"/>
    <w:rsid w:val="00AB7129"/>
    <w:rsid w:val="00AC27A6"/>
    <w:rsid w:val="00AC30F7"/>
    <w:rsid w:val="00AC3A5A"/>
    <w:rsid w:val="00AC4D95"/>
    <w:rsid w:val="00AC5DF4"/>
    <w:rsid w:val="00AC5FBD"/>
    <w:rsid w:val="00AD0AEF"/>
    <w:rsid w:val="00AD0E2D"/>
    <w:rsid w:val="00AD11B7"/>
    <w:rsid w:val="00AD1A94"/>
    <w:rsid w:val="00AD1C05"/>
    <w:rsid w:val="00AD4126"/>
    <w:rsid w:val="00AD421C"/>
    <w:rsid w:val="00AD44FA"/>
    <w:rsid w:val="00AD47C9"/>
    <w:rsid w:val="00AE070A"/>
    <w:rsid w:val="00AE101C"/>
    <w:rsid w:val="00AE37E5"/>
    <w:rsid w:val="00AE5EB4"/>
    <w:rsid w:val="00AF0C18"/>
    <w:rsid w:val="00AF47C5"/>
    <w:rsid w:val="00AF5398"/>
    <w:rsid w:val="00B021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5720F"/>
    <w:rsid w:val="00B60ACF"/>
    <w:rsid w:val="00B61C09"/>
    <w:rsid w:val="00B62B58"/>
    <w:rsid w:val="00B65149"/>
    <w:rsid w:val="00B66567"/>
    <w:rsid w:val="00B66F52"/>
    <w:rsid w:val="00B66FE5"/>
    <w:rsid w:val="00B72880"/>
    <w:rsid w:val="00B758BF"/>
    <w:rsid w:val="00B77EC8"/>
    <w:rsid w:val="00B827A6"/>
    <w:rsid w:val="00B831CE"/>
    <w:rsid w:val="00B86677"/>
    <w:rsid w:val="00B87131"/>
    <w:rsid w:val="00B87D09"/>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399"/>
    <w:rsid w:val="00BF0993"/>
    <w:rsid w:val="00BF10A9"/>
    <w:rsid w:val="00BF1703"/>
    <w:rsid w:val="00BF231C"/>
    <w:rsid w:val="00BF51E5"/>
    <w:rsid w:val="00BF74A6"/>
    <w:rsid w:val="00C00D9D"/>
    <w:rsid w:val="00C013AD"/>
    <w:rsid w:val="00C04904"/>
    <w:rsid w:val="00C056B3"/>
    <w:rsid w:val="00C07417"/>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18"/>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557B"/>
    <w:rsid w:val="00C96741"/>
    <w:rsid w:val="00CA2D1B"/>
    <w:rsid w:val="00CA2FB6"/>
    <w:rsid w:val="00CA375D"/>
    <w:rsid w:val="00CA5976"/>
    <w:rsid w:val="00CA662A"/>
    <w:rsid w:val="00CA7AFD"/>
    <w:rsid w:val="00CA7C3C"/>
    <w:rsid w:val="00CB0189"/>
    <w:rsid w:val="00CB0BA2"/>
    <w:rsid w:val="00CB1A42"/>
    <w:rsid w:val="00CB1B0C"/>
    <w:rsid w:val="00CB2C0B"/>
    <w:rsid w:val="00CB517D"/>
    <w:rsid w:val="00CC038D"/>
    <w:rsid w:val="00CC08DB"/>
    <w:rsid w:val="00CC0D6F"/>
    <w:rsid w:val="00CC35F8"/>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5E01"/>
    <w:rsid w:val="00CF048A"/>
    <w:rsid w:val="00CF155A"/>
    <w:rsid w:val="00CF2947"/>
    <w:rsid w:val="00CF686F"/>
    <w:rsid w:val="00CF6E60"/>
    <w:rsid w:val="00CF7BCA"/>
    <w:rsid w:val="00D002DE"/>
    <w:rsid w:val="00D008FD"/>
    <w:rsid w:val="00D0321C"/>
    <w:rsid w:val="00D035EC"/>
    <w:rsid w:val="00D06AB1"/>
    <w:rsid w:val="00D072ED"/>
    <w:rsid w:val="00D07A16"/>
    <w:rsid w:val="00D1067E"/>
    <w:rsid w:val="00D10F50"/>
    <w:rsid w:val="00D11254"/>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AF9"/>
    <w:rsid w:val="00D51BF3"/>
    <w:rsid w:val="00D608AE"/>
    <w:rsid w:val="00D66846"/>
    <w:rsid w:val="00D675FB"/>
    <w:rsid w:val="00D71F25"/>
    <w:rsid w:val="00D72A9C"/>
    <w:rsid w:val="00D74148"/>
    <w:rsid w:val="00D77031"/>
    <w:rsid w:val="00D84941"/>
    <w:rsid w:val="00D84FA1"/>
    <w:rsid w:val="00D851F0"/>
    <w:rsid w:val="00D86DB7"/>
    <w:rsid w:val="00D926D0"/>
    <w:rsid w:val="00D93030"/>
    <w:rsid w:val="00D950E1"/>
    <w:rsid w:val="00D952A6"/>
    <w:rsid w:val="00D97F99"/>
    <w:rsid w:val="00DA1E08"/>
    <w:rsid w:val="00DA24F8"/>
    <w:rsid w:val="00DA255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071"/>
    <w:rsid w:val="00DD54B0"/>
    <w:rsid w:val="00DD57EE"/>
    <w:rsid w:val="00DD6BCC"/>
    <w:rsid w:val="00DE0A4B"/>
    <w:rsid w:val="00DE2410"/>
    <w:rsid w:val="00DE2939"/>
    <w:rsid w:val="00DE6E81"/>
    <w:rsid w:val="00DE703F"/>
    <w:rsid w:val="00DE7595"/>
    <w:rsid w:val="00DF1961"/>
    <w:rsid w:val="00DF44DE"/>
    <w:rsid w:val="00DF5F11"/>
    <w:rsid w:val="00E01138"/>
    <w:rsid w:val="00E01ED7"/>
    <w:rsid w:val="00E02DFB"/>
    <w:rsid w:val="00E030F9"/>
    <w:rsid w:val="00E0311A"/>
    <w:rsid w:val="00E03138"/>
    <w:rsid w:val="00E06404"/>
    <w:rsid w:val="00E11A85"/>
    <w:rsid w:val="00E12495"/>
    <w:rsid w:val="00E15CCD"/>
    <w:rsid w:val="00E202EF"/>
    <w:rsid w:val="00E210B5"/>
    <w:rsid w:val="00E223E9"/>
    <w:rsid w:val="00E23D99"/>
    <w:rsid w:val="00E2552F"/>
    <w:rsid w:val="00E3137A"/>
    <w:rsid w:val="00E318FD"/>
    <w:rsid w:val="00E32CCF"/>
    <w:rsid w:val="00E34A98"/>
    <w:rsid w:val="00E35D1E"/>
    <w:rsid w:val="00E364F9"/>
    <w:rsid w:val="00E365FA"/>
    <w:rsid w:val="00E36789"/>
    <w:rsid w:val="00E44A83"/>
    <w:rsid w:val="00E502C1"/>
    <w:rsid w:val="00E502DD"/>
    <w:rsid w:val="00E50D3A"/>
    <w:rsid w:val="00E51387"/>
    <w:rsid w:val="00E51E68"/>
    <w:rsid w:val="00E52EFD"/>
    <w:rsid w:val="00E53DE9"/>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60B"/>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AA7"/>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205"/>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07C"/>
    <w:rsid w:val="00FA4DAC"/>
    <w:rsid w:val="00FA662D"/>
    <w:rsid w:val="00FA73B1"/>
    <w:rsid w:val="00FB0CB9"/>
    <w:rsid w:val="00FB231D"/>
    <w:rsid w:val="00FB45F1"/>
    <w:rsid w:val="00FB4A72"/>
    <w:rsid w:val="00FB54E8"/>
    <w:rsid w:val="00FB7054"/>
    <w:rsid w:val="00FC17B7"/>
    <w:rsid w:val="00FC2CB7"/>
    <w:rsid w:val="00FC4090"/>
    <w:rsid w:val="00FC55B4"/>
    <w:rsid w:val="00FC6997"/>
    <w:rsid w:val="00FD00E6"/>
    <w:rsid w:val="00FD09A1"/>
    <w:rsid w:val="00FD2A7C"/>
    <w:rsid w:val="00FD59EB"/>
    <w:rsid w:val="00FD7299"/>
    <w:rsid w:val="00FE1FBE"/>
    <w:rsid w:val="00FE3901"/>
    <w:rsid w:val="00FE39D3"/>
    <w:rsid w:val="00FE4BCE"/>
    <w:rsid w:val="00FE54AE"/>
    <w:rsid w:val="00FE576A"/>
    <w:rsid w:val="00FE6ED6"/>
    <w:rsid w:val="00FE7E79"/>
    <w:rsid w:val="00FF3E7D"/>
    <w:rsid w:val="00FF5A29"/>
    <w:rsid w:val="00FF5B99"/>
    <w:rsid w:val="00FF730C"/>
    <w:rsid w:val="00FF73F4"/>
    <w:rsid w:val="00FF7CE4"/>
    <w:rsid w:val="00FF7E39"/>
    <w:rsid w:val="425F652F"/>
    <w:rsid w:val="6CFB2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semiHidden="0" w:name="toc 3"/>
    <w:lsdException w:qFormat="1"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Document Map"/>
    <w:basedOn w:val="1"/>
    <w:link w:val="231"/>
    <w:semiHidden/>
    <w:unhideWhenUsed/>
    <w:uiPriority w:val="99"/>
    <w:rPr>
      <w:rFonts w:ascii="宋体"/>
      <w:sz w:val="18"/>
      <w:szCs w:val="18"/>
    </w:rPr>
  </w:style>
  <w:style w:type="paragraph" w:styleId="14">
    <w:name w:val="Body Text"/>
    <w:basedOn w:val="1"/>
    <w:link w:val="87"/>
    <w:uiPriority w:val="0"/>
    <w:pPr>
      <w:spacing w:after="120"/>
    </w:pPr>
  </w:style>
  <w:style w:type="paragraph" w:styleId="15">
    <w:name w:val="toc 5"/>
    <w:basedOn w:val="1"/>
    <w:next w:val="1"/>
    <w:unhideWhenUsed/>
    <w:uiPriority w:val="39"/>
    <w:pPr>
      <w:ind w:left="839"/>
    </w:pPr>
    <w:rPr>
      <w:rFonts w:ascii="宋体"/>
    </w:rPr>
  </w:style>
  <w:style w:type="paragraph" w:styleId="16">
    <w:name w:val="toc 3"/>
    <w:basedOn w:val="1"/>
    <w:next w:val="1"/>
    <w:unhideWhenUsed/>
    <w:uiPriority w:val="39"/>
    <w:pPr>
      <w:spacing w:line="300" w:lineRule="exact"/>
      <w:ind w:left="420"/>
    </w:pPr>
    <w:rPr>
      <w:rFonts w:ascii="宋体"/>
    </w:rPr>
  </w:style>
  <w:style w:type="paragraph" w:styleId="17">
    <w:name w:val="Balloon Text"/>
    <w:basedOn w:val="1"/>
    <w:link w:val="46"/>
    <w:semiHidden/>
    <w:unhideWhenUsed/>
    <w:uiPriority w:val="99"/>
    <w:rPr>
      <w:sz w:val="18"/>
      <w:szCs w:val="18"/>
    </w:rPr>
  </w:style>
  <w:style w:type="paragraph" w:styleId="18">
    <w:name w:val="footer"/>
    <w:basedOn w:val="1"/>
    <w:link w:val="45"/>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9"/>
    <w:qFormat/>
    <w:uiPriority w:val="99"/>
    <w:rPr>
      <w:rFonts w:ascii="Times New Roman" w:hAnsi="Times New Roman" w:eastAsia="宋体" w:cs="Times New Roman"/>
      <w:sz w:val="18"/>
      <w:szCs w:val="18"/>
    </w:rPr>
  </w:style>
  <w:style w:type="character" w:customStyle="1" w:styleId="45">
    <w:name w:val="页脚 字符"/>
    <w:link w:val="18"/>
    <w:uiPriority w:val="99"/>
    <w:rPr>
      <w:rFonts w:ascii="宋体" w:hAnsi="Times New Roman" w:eastAsia="宋体" w:cs="Times New Roman"/>
      <w:sz w:val="18"/>
      <w:szCs w:val="18"/>
    </w:rPr>
  </w:style>
  <w:style w:type="character" w:customStyle="1" w:styleId="46">
    <w:name w:val="批注框文本 字符"/>
    <w:link w:val="17"/>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uiPriority w:val="0"/>
    <w:pPr>
      <w:spacing w:line="310" w:lineRule="exact"/>
      <w:jc w:val="right"/>
    </w:pPr>
    <w:rPr>
      <w:rFonts w:ascii="黑体" w:eastAsia="黑体"/>
      <w:kern w:val="0"/>
      <w:sz w:val="28"/>
    </w:rPr>
  </w:style>
  <w:style w:type="paragraph" w:customStyle="1" w:styleId="70">
    <w:name w:val="标准文件_封面标准分类号"/>
    <w:basedOn w:val="1"/>
    <w:uiPriority w:val="0"/>
    <w:rPr>
      <w:rFonts w:ascii="黑体" w:eastAsia="黑体"/>
      <w:b/>
      <w:kern w:val="0"/>
      <w:sz w:val="28"/>
    </w:rPr>
  </w:style>
  <w:style w:type="paragraph" w:customStyle="1" w:styleId="71">
    <w:name w:val="标准文件_封面标准名称"/>
    <w:basedOn w:val="1"/>
    <w:uiPriority w:val="0"/>
    <w:pPr>
      <w:spacing w:line="240" w:lineRule="auto"/>
      <w:jc w:val="center"/>
    </w:pPr>
    <w:rPr>
      <w:rFonts w:ascii="黑体" w:eastAsia="黑体"/>
      <w:kern w:val="0"/>
      <w:sz w:val="52"/>
    </w:rPr>
  </w:style>
  <w:style w:type="paragraph" w:customStyle="1" w:styleId="72">
    <w:name w:val="标准文件_封面标准英文名称"/>
    <w:basedOn w:val="1"/>
    <w:uiPriority w:val="0"/>
    <w:pPr>
      <w:spacing w:line="240" w:lineRule="auto"/>
      <w:jc w:val="center"/>
    </w:pPr>
    <w:rPr>
      <w:rFonts w:ascii="黑体" w:eastAsia="黑体"/>
      <w:b/>
      <w:sz w:val="28"/>
    </w:rPr>
  </w:style>
  <w:style w:type="paragraph" w:customStyle="1" w:styleId="73">
    <w:name w:val="标准文件_封面发布日期"/>
    <w:basedOn w:val="1"/>
    <w:uiPriority w:val="0"/>
    <w:pPr>
      <w:spacing w:line="310" w:lineRule="exact"/>
    </w:pPr>
    <w:rPr>
      <w:rFonts w:ascii="黑体" w:eastAsia="黑体"/>
      <w:kern w:val="0"/>
      <w:sz w:val="28"/>
    </w:rPr>
  </w:style>
  <w:style w:type="paragraph" w:customStyle="1" w:styleId="74">
    <w:name w:val="标准文件_封面密级"/>
    <w:basedOn w:val="1"/>
    <w:uiPriority w:val="0"/>
    <w:rPr>
      <w:rFonts w:eastAsia="黑体"/>
      <w:sz w:val="32"/>
    </w:rPr>
  </w:style>
  <w:style w:type="paragraph" w:customStyle="1" w:styleId="75">
    <w:name w:val="标准文件_封面实施日期"/>
    <w:basedOn w:val="1"/>
    <w:uiPriority w:val="0"/>
    <w:pPr>
      <w:spacing w:line="310" w:lineRule="exact"/>
      <w:jc w:val="right"/>
    </w:pPr>
    <w:rPr>
      <w:rFonts w:ascii="黑体" w:eastAsia="黑体"/>
      <w:sz w:val="28"/>
    </w:rPr>
  </w:style>
  <w:style w:type="paragraph" w:customStyle="1" w:styleId="76">
    <w:name w:val="标准文件_封面抬头"/>
    <w:basedOn w:val="57"/>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uiPriority w:val="0"/>
    <w:rPr>
      <w:rFonts w:ascii="Times New Roman" w:hAnsi="Times New Roman" w:eastAsia="宋体" w:cs="Times New Roman"/>
      <w:szCs w:val="20"/>
    </w:rPr>
  </w:style>
  <w:style w:type="paragraph" w:customStyle="1" w:styleId="88">
    <w:name w:val="标准文件_附录章标题"/>
    <w:next w:val="57"/>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uiPriority w:val="0"/>
    <w:pPr>
      <w:ind w:left="488" w:leftChars="200" w:hanging="289" w:hangingChars="290"/>
    </w:pPr>
  </w:style>
  <w:style w:type="paragraph" w:customStyle="1" w:styleId="90">
    <w:name w:val="标准文件_前言、引言标题"/>
    <w:next w:val="1"/>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uiPriority w:val="0"/>
    <w:pPr>
      <w:spacing w:line="460" w:lineRule="exact"/>
    </w:pPr>
  </w:style>
  <w:style w:type="paragraph" w:customStyle="1" w:styleId="92">
    <w:name w:val="标准文件_目录标题"/>
    <w:basedOn w:val="1"/>
    <w:uiPriority w:val="0"/>
    <w:pPr>
      <w:spacing w:afterLines="150" w:line="240" w:lineRule="auto"/>
      <w:jc w:val="center"/>
    </w:pPr>
    <w:rPr>
      <w:rFonts w:ascii="黑体" w:eastAsia="黑体"/>
      <w:sz w:val="32"/>
    </w:rPr>
  </w:style>
  <w:style w:type="paragraph" w:customStyle="1" w:styleId="93">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uiPriority w:val="0"/>
    <w:pPr>
      <w:numPr>
        <w:numId w:val="10"/>
      </w:numPr>
      <w:ind w:left="0" w:firstLine="200"/>
    </w:pPr>
  </w:style>
  <w:style w:type="paragraph" w:customStyle="1" w:styleId="95">
    <w:name w:val="标准文件_三级条标题"/>
    <w:basedOn w:val="66"/>
    <w:next w:val="57"/>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uiPriority w:val="0"/>
    <w:pPr>
      <w:adjustRightInd/>
      <w:spacing w:line="240" w:lineRule="auto"/>
      <w:ind w:firstLine="200" w:firstLineChars="200"/>
    </w:pPr>
    <w:rPr>
      <w:sz w:val="18"/>
      <w:szCs w:val="24"/>
    </w:rPr>
  </w:style>
  <w:style w:type="paragraph" w:customStyle="1" w:styleId="98">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uiPriority w:val="0"/>
    <w:rPr>
      <w:rFonts w:ascii="宋体" w:hAnsi="Times New Roman" w:eastAsia="宋体" w:cs="Times New Roman"/>
      <w:sz w:val="18"/>
      <w:szCs w:val="18"/>
    </w:rPr>
  </w:style>
  <w:style w:type="paragraph" w:customStyle="1" w:styleId="101">
    <w:name w:val="标准文件_条文脚注"/>
    <w:basedOn w:val="22"/>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uiPriority w:val="0"/>
    <w:pPr>
      <w:numPr>
        <w:ilvl w:val="0"/>
        <w:numId w:val="12"/>
      </w:numPr>
      <w:spacing w:line="240" w:lineRule="auto"/>
      <w:jc w:val="left"/>
    </w:pPr>
    <w:rPr>
      <w:rFonts w:ascii="宋体" w:hAnsi="宋体"/>
      <w:sz w:val="18"/>
    </w:rPr>
  </w:style>
  <w:style w:type="character" w:customStyle="1" w:styleId="103">
    <w:name w:val="标准文件_图表脚注内容"/>
    <w:uiPriority w:val="0"/>
    <w:rPr>
      <w:rFonts w:ascii="宋体" w:hAnsi="宋体" w:eastAsia="宋体" w:cs="Times New Roman"/>
      <w:spacing w:val="0"/>
      <w:sz w:val="18"/>
      <w:vertAlign w:val="superscript"/>
    </w:rPr>
  </w:style>
  <w:style w:type="paragraph" w:customStyle="1" w:styleId="104">
    <w:name w:val="标准文件_五级条标题"/>
    <w:next w:val="57"/>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uiPriority w:val="0"/>
    <w:pPr>
      <w:numPr>
        <w:ilvl w:val="2"/>
      </w:numPr>
      <w:spacing w:beforeLines="50" w:afterLines="50"/>
      <w:outlineLvl w:val="1"/>
    </w:pPr>
  </w:style>
  <w:style w:type="paragraph" w:customStyle="1" w:styleId="107">
    <w:name w:val="标准文件_一致程度"/>
    <w:basedOn w:val="1"/>
    <w:uiPriority w:val="0"/>
    <w:pPr>
      <w:spacing w:line="440" w:lineRule="exact"/>
      <w:jc w:val="center"/>
    </w:pPr>
    <w:rPr>
      <w:sz w:val="28"/>
    </w:rPr>
  </w:style>
  <w:style w:type="paragraph" w:customStyle="1" w:styleId="108">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uiPriority w:val="0"/>
    <w:pPr>
      <w:numPr>
        <w:ilvl w:val="3"/>
        <w:numId w:val="20"/>
      </w:numPr>
      <w:adjustRightInd/>
      <w:spacing w:line="240" w:lineRule="auto"/>
    </w:pPr>
    <w:rPr>
      <w:rFonts w:ascii="宋体" w:hAnsi="宋体"/>
      <w:szCs w:val="24"/>
    </w:rPr>
  </w:style>
  <w:style w:type="paragraph" w:customStyle="1" w:styleId="120">
    <w:name w:val="发布部门"/>
    <w:next w:val="57"/>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uiPriority w:val="0"/>
    <w:pPr>
      <w:outlineLvl w:val="4"/>
    </w:pPr>
  </w:style>
  <w:style w:type="paragraph" w:customStyle="1" w:styleId="131">
    <w:name w:val="附录四级无标题条"/>
    <w:basedOn w:val="130"/>
    <w:next w:val="57"/>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uiPriority w:val="0"/>
    <w:pPr>
      <w:outlineLvl w:val="6"/>
    </w:pPr>
  </w:style>
  <w:style w:type="paragraph" w:customStyle="1" w:styleId="135">
    <w:name w:val="附录性质"/>
    <w:basedOn w:val="1"/>
    <w:uiPriority w:val="0"/>
    <w:pPr>
      <w:widowControl/>
      <w:adjustRightInd/>
      <w:jc w:val="center"/>
    </w:pPr>
    <w:rPr>
      <w:rFonts w:ascii="黑体" w:eastAsia="黑体"/>
    </w:rPr>
  </w:style>
  <w:style w:type="paragraph" w:customStyle="1" w:styleId="136">
    <w:name w:val="附录一级无标题条"/>
    <w:basedOn w:val="88"/>
    <w:next w:val="57"/>
    <w:uiPriority w:val="0"/>
    <w:pPr>
      <w:autoSpaceDN w:val="0"/>
      <w:outlineLvl w:val="2"/>
    </w:pPr>
    <w:rPr>
      <w:rFonts w:ascii="宋体" w:hAnsi="宋体" w:eastAsia="宋体"/>
    </w:rPr>
  </w:style>
  <w:style w:type="character" w:customStyle="1" w:styleId="137">
    <w:name w:val="个人答复风格"/>
    <w:uiPriority w:val="0"/>
    <w:rPr>
      <w:rFonts w:ascii="Arial" w:hAnsi="Arial" w:eastAsia="宋体" w:cs="Arial"/>
      <w:color w:val="auto"/>
      <w:spacing w:val="0"/>
      <w:sz w:val="20"/>
    </w:rPr>
  </w:style>
  <w:style w:type="character" w:customStyle="1" w:styleId="138">
    <w:name w:val="个人撰写风格"/>
    <w:uiPriority w:val="0"/>
    <w:rPr>
      <w:rFonts w:ascii="Arial" w:hAnsi="Arial" w:eastAsia="宋体" w:cs="Arial"/>
      <w:color w:val="auto"/>
      <w:spacing w:val="0"/>
      <w:sz w:val="20"/>
    </w:rPr>
  </w:style>
  <w:style w:type="paragraph" w:customStyle="1" w:styleId="139">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uiPriority w:val="0"/>
    <w:pPr>
      <w:tabs>
        <w:tab w:val="left" w:pos="840"/>
      </w:tabs>
    </w:pPr>
  </w:style>
  <w:style w:type="paragraph" w:customStyle="1" w:styleId="142">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uiPriority w:val="0"/>
    <w:pPr>
      <w:adjustRightInd/>
      <w:spacing w:line="240" w:lineRule="auto"/>
      <w:jc w:val="left"/>
    </w:pPr>
    <w:rPr>
      <w:bCs/>
      <w:iCs/>
    </w:rPr>
  </w:style>
  <w:style w:type="paragraph" w:customStyle="1" w:styleId="144">
    <w:name w:val="目录 31"/>
    <w:basedOn w:val="1"/>
    <w:next w:val="1"/>
    <w:semiHidden/>
    <w:uiPriority w:val="0"/>
    <w:pPr>
      <w:spacing w:line="240" w:lineRule="auto"/>
    </w:pPr>
    <w:rPr>
      <w:rFonts w:ascii="宋体" w:hAnsi="宋体"/>
      <w:iCs/>
    </w:rPr>
  </w:style>
  <w:style w:type="paragraph" w:customStyle="1" w:styleId="145">
    <w:name w:val="目录 41"/>
    <w:basedOn w:val="1"/>
    <w:next w:val="1"/>
    <w:semiHidden/>
    <w:uiPriority w:val="0"/>
    <w:pPr>
      <w:adjustRightInd/>
      <w:spacing w:line="240" w:lineRule="auto"/>
      <w:jc w:val="left"/>
    </w:pPr>
  </w:style>
  <w:style w:type="paragraph" w:customStyle="1" w:styleId="146">
    <w:name w:val="目录 51"/>
    <w:basedOn w:val="1"/>
    <w:next w:val="1"/>
    <w:semiHidden/>
    <w:uiPriority w:val="0"/>
    <w:pPr>
      <w:spacing w:line="240" w:lineRule="auto"/>
    </w:pPr>
    <w:rPr>
      <w:rFonts w:ascii="宋体" w:hAnsi="宋体"/>
    </w:rPr>
  </w:style>
  <w:style w:type="paragraph" w:customStyle="1" w:styleId="147">
    <w:name w:val="目录 61"/>
    <w:basedOn w:val="1"/>
    <w:next w:val="1"/>
    <w:semiHidden/>
    <w:uiPriority w:val="0"/>
    <w:pPr>
      <w:adjustRightInd/>
      <w:spacing w:line="240" w:lineRule="auto"/>
      <w:jc w:val="left"/>
    </w:pPr>
  </w:style>
  <w:style w:type="paragraph" w:customStyle="1" w:styleId="148">
    <w:name w:val="目录 71"/>
    <w:basedOn w:val="147"/>
    <w:semiHidden/>
    <w:uiPriority w:val="0"/>
    <w:pPr>
      <w:ind w:left="1260"/>
    </w:pPr>
  </w:style>
  <w:style w:type="paragraph" w:customStyle="1" w:styleId="149">
    <w:name w:val="目录 81"/>
    <w:basedOn w:val="148"/>
    <w:semiHidden/>
    <w:uiPriority w:val="0"/>
    <w:pPr>
      <w:ind w:left="1470"/>
    </w:pPr>
  </w:style>
  <w:style w:type="paragraph" w:customStyle="1" w:styleId="150">
    <w:name w:val="目录 91"/>
    <w:basedOn w:val="149"/>
    <w:semiHidden/>
    <w:uiPriority w:val="0"/>
    <w:pPr>
      <w:ind w:left="1680"/>
    </w:pPr>
  </w:style>
  <w:style w:type="paragraph" w:customStyle="1" w:styleId="151">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uiPriority w:val="0"/>
    <w:pPr>
      <w:framePr w:wrap="around"/>
      <w:spacing w:line="0" w:lineRule="atLeast"/>
    </w:pPr>
    <w:rPr>
      <w:rFonts w:ascii="黑体" w:eastAsia="黑体"/>
      <w:b w:val="0"/>
    </w:rPr>
  </w:style>
  <w:style w:type="paragraph" w:customStyle="1" w:styleId="153">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uiPriority w:val="0"/>
    <w:pPr>
      <w:numPr>
        <w:ilvl w:val="4"/>
        <w:numId w:val="20"/>
      </w:numPr>
      <w:adjustRightInd/>
      <w:spacing w:line="240" w:lineRule="auto"/>
    </w:pPr>
    <w:rPr>
      <w:rFonts w:ascii="宋体" w:hAnsi="宋体"/>
      <w:szCs w:val="24"/>
    </w:rPr>
  </w:style>
  <w:style w:type="paragraph" w:customStyle="1" w:styleId="155">
    <w:name w:val="实施日期"/>
    <w:basedOn w:val="121"/>
    <w:uiPriority w:val="0"/>
    <w:pPr>
      <w:framePr w:hSpace="0" w:wrap="around" w:xAlign="right"/>
      <w:jc w:val="right"/>
    </w:pPr>
  </w:style>
  <w:style w:type="paragraph" w:customStyle="1" w:styleId="156">
    <w:name w:val="四级无标题条"/>
    <w:basedOn w:val="1"/>
    <w:uiPriority w:val="0"/>
    <w:pPr>
      <w:numPr>
        <w:ilvl w:val="5"/>
        <w:numId w:val="20"/>
      </w:numPr>
      <w:adjustRightInd/>
      <w:spacing w:line="240" w:lineRule="auto"/>
    </w:pPr>
    <w:rPr>
      <w:rFonts w:ascii="宋体" w:hAnsi="宋体"/>
      <w:szCs w:val="24"/>
    </w:rPr>
  </w:style>
  <w:style w:type="paragraph" w:customStyle="1" w:styleId="157">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uiPriority w:val="0"/>
    <w:pPr>
      <w:jc w:val="both"/>
    </w:pPr>
    <w:rPr>
      <w:rFonts w:ascii="宋体" w:hAnsi="宋体" w:eastAsia="宋体" w:cs="Times New Roman"/>
      <w:sz w:val="21"/>
      <w:lang w:val="en-US" w:eastAsia="zh-CN" w:bidi="ar-SA"/>
    </w:rPr>
  </w:style>
  <w:style w:type="paragraph" w:customStyle="1" w:styleId="159">
    <w:name w:val="五级无标题条"/>
    <w:basedOn w:val="1"/>
    <w:uiPriority w:val="0"/>
    <w:pPr>
      <w:numPr>
        <w:ilvl w:val="6"/>
        <w:numId w:val="20"/>
      </w:numPr>
      <w:adjustRightInd/>
    </w:pPr>
    <w:rPr>
      <w:szCs w:val="24"/>
    </w:rPr>
  </w:style>
  <w:style w:type="paragraph" w:customStyle="1" w:styleId="160">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uiPriority w:val="0"/>
    <w:rPr>
      <w:rFonts w:ascii="宋体" w:hAnsi="Times New Roman" w:eastAsia="宋体" w:cs="Times New Roman"/>
      <w:sz w:val="21"/>
      <w:lang w:val="en-US" w:eastAsia="zh-CN" w:bidi="ar-SA"/>
    </w:rPr>
  </w:style>
  <w:style w:type="paragraph" w:customStyle="1" w:styleId="173">
    <w:name w:val="标准文件_三级项"/>
    <w:basedOn w:val="1"/>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uiPriority w:val="0"/>
    <w:pPr>
      <w:framePr w:w="3997" w:h="471" w:hRule="exact" w:hSpace="0" w:vSpace="181" w:wrap="around" w:vAnchor="page" w:hAnchor="page" w:x="1419" w:y="14097"/>
    </w:pPr>
  </w:style>
  <w:style w:type="paragraph" w:customStyle="1" w:styleId="195">
    <w:name w:val="其他实施日期"/>
    <w:basedOn w:val="155"/>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uiPriority w:val="0"/>
    <w:rPr>
      <w:rFonts w:ascii="黑体" w:eastAsia="黑体"/>
      <w:spacing w:val="85"/>
      <w:w w:val="100"/>
      <w:position w:val="3"/>
      <w:sz w:val="28"/>
      <w:szCs w:val="28"/>
    </w:rPr>
  </w:style>
  <w:style w:type="character" w:customStyle="1" w:styleId="231">
    <w:name w:val="文档结构图 字符"/>
    <w:basedOn w:val="29"/>
    <w:link w:val="13"/>
    <w:semiHidden/>
    <w:uiPriority w:val="99"/>
    <w:rPr>
      <w:rFonts w:ascii="宋体"/>
      <w:kern w:val="2"/>
      <w:sz w:val="18"/>
      <w:szCs w:val="18"/>
    </w:rPr>
  </w:style>
  <w:style w:type="paragraph" w:customStyle="1" w:styleId="23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条文说明-临时"/>
    <w:basedOn w:val="1"/>
    <w:link w:val="234"/>
    <w:qFormat/>
    <w:uiPriority w:val="0"/>
    <w:pPr>
      <w:adjustRightInd/>
      <w:spacing w:line="276" w:lineRule="auto"/>
    </w:pPr>
    <w:rPr>
      <w:rFonts w:ascii="Times New Roman" w:hAnsi="Times New Roman" w:eastAsia="楷体"/>
      <w:sz w:val="28"/>
      <w:szCs w:val="28"/>
    </w:rPr>
  </w:style>
  <w:style w:type="character" w:customStyle="1" w:styleId="234">
    <w:name w:val="条文说明-临时 字符"/>
    <w:link w:val="233"/>
    <w:uiPriority w:val="0"/>
    <w:rPr>
      <w:rFonts w:ascii="Times New Roman" w:hAnsi="Times New Roman" w:eastAsia="楷体"/>
      <w:kern w:val="2"/>
      <w:sz w:val="28"/>
      <w:szCs w:val="28"/>
    </w:rPr>
  </w:style>
  <w:style w:type="paragraph" w:styleId="235">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E3B628B95164B5A8436AB1B13CD098E"/>
        <w:style w:val=""/>
        <w:category>
          <w:name w:val="常规"/>
          <w:gallery w:val="placeholder"/>
        </w:category>
        <w:types>
          <w:type w:val="bbPlcHdr"/>
        </w:types>
        <w:behaviors>
          <w:behavior w:val="content"/>
        </w:behaviors>
        <w:description w:val=""/>
        <w:guid w:val="{BBC4CC37-0960-41FB-AA86-6A22141C61E7}"/>
      </w:docPartPr>
      <w:docPartBody>
        <w:p>
          <w:pPr>
            <w:pStyle w:val="5"/>
            <w:rPr>
              <w:rFonts w:hint="eastAsia"/>
            </w:rPr>
          </w:pPr>
          <w:r>
            <w:rPr>
              <w:rStyle w:val="4"/>
              <w:rFonts w:hint="eastAsia"/>
            </w:rPr>
            <w:t>单击或点击此处输入文字。</w:t>
          </w:r>
        </w:p>
      </w:docPartBody>
    </w:docPart>
    <w:docPart>
      <w:docPartPr>
        <w:name w:val="62D9E1DA5C7F456AB4F98DFF945F359F"/>
        <w:style w:val=""/>
        <w:category>
          <w:name w:val="常规"/>
          <w:gallery w:val="placeholder"/>
        </w:category>
        <w:types>
          <w:type w:val="bbPlcHdr"/>
        </w:types>
        <w:behaviors>
          <w:behavior w:val="content"/>
        </w:behaviors>
        <w:description w:val=""/>
        <w:guid w:val="{B3785829-5916-47E2-8C65-7F969B26D794}"/>
      </w:docPartPr>
      <w:docPartBody>
        <w:p>
          <w:pPr>
            <w:pStyle w:val="6"/>
            <w:rPr>
              <w:rFonts w:hint="eastAsia"/>
            </w:rPr>
          </w:pPr>
          <w:r>
            <w:rPr>
              <w:rStyle w:val="4"/>
              <w:rFonts w:hint="eastAsia"/>
            </w:rPr>
            <w:t>选择一项。</w:t>
          </w:r>
        </w:p>
      </w:docPartBody>
    </w:docPart>
    <w:docPart>
      <w:docPartPr>
        <w:name w:val="08B9AE389C7948AAA37C86BAA9EA2344"/>
        <w:style w:val=""/>
        <w:category>
          <w:name w:val="常规"/>
          <w:gallery w:val="placeholder"/>
        </w:category>
        <w:types>
          <w:type w:val="bbPlcHdr"/>
        </w:types>
        <w:behaviors>
          <w:behavior w:val="content"/>
        </w:behaviors>
        <w:description w:val=""/>
        <w:guid w:val="{26A7FA22-01BC-4EC2-B4E1-9F366E639647}"/>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15362"/>
    <w:rsid w:val="00047A9A"/>
    <w:rsid w:val="00086FCC"/>
    <w:rsid w:val="00185EAE"/>
    <w:rsid w:val="001C34C9"/>
    <w:rsid w:val="0026635C"/>
    <w:rsid w:val="00416F71"/>
    <w:rsid w:val="00431473"/>
    <w:rsid w:val="00497B63"/>
    <w:rsid w:val="007E11B6"/>
    <w:rsid w:val="0087647D"/>
    <w:rsid w:val="00950C81"/>
    <w:rsid w:val="0095144E"/>
    <w:rsid w:val="009A5F0F"/>
    <w:rsid w:val="009D219A"/>
    <w:rsid w:val="009D61F8"/>
    <w:rsid w:val="009F774C"/>
    <w:rsid w:val="00A251A9"/>
    <w:rsid w:val="00A666FC"/>
    <w:rsid w:val="00B8173D"/>
    <w:rsid w:val="00C00D9D"/>
    <w:rsid w:val="00CD7583"/>
    <w:rsid w:val="00CE5E01"/>
    <w:rsid w:val="00D15362"/>
    <w:rsid w:val="00D51AE3"/>
    <w:rsid w:val="00DD261C"/>
    <w:rsid w:val="00F11663"/>
    <w:rsid w:val="00F95558"/>
    <w:rsid w:val="00FA18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E3B628B95164B5A8436AB1B13CD098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2D9E1DA5C7F456AB4F98DFF945F359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8B9AE389C7948AAA37C86BAA9EA234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0"/>
    <customShpInfo spid="_x0000_s205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B1D808-F1CA-4C12-B025-4D3AC3EA9E6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25</Pages>
  <Words>3346</Words>
  <Characters>19073</Characters>
  <Lines>158</Lines>
  <Paragraphs>44</Paragraphs>
  <TotalTime>2</TotalTime>
  <ScaleCrop>false</ScaleCrop>
  <LinksUpToDate>false</LinksUpToDate>
  <CharactersWithSpaces>22375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2021-05-07T01:47:00Z</dcterms:created>
  <dc:creator>胥文婷</dc:creator>
  <cp:lastModifiedBy>吴晓春</cp:lastModifiedBy>
  <cp:lastPrinted>2025-03-11T08:26:00Z</cp:lastPrinted>
  <dcterms:modified xsi:type="dcterms:W3CDTF">2025-06-16T04:34:44Z</dcterms:modified>
  <dc:title>地方标准</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2052-11.8.2.10393</vt:lpwstr>
  </property>
</Properties>
</file>